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6ACD" w14:textId="30A0A195" w:rsidR="00944BFA" w:rsidRPr="006A5850" w:rsidRDefault="00944BFA" w:rsidP="006C6F28">
      <w:pPr>
        <w:jc w:val="both"/>
        <w:rPr>
          <w:b/>
          <w:u w:val="single"/>
        </w:rPr>
      </w:pPr>
      <w:r w:rsidRPr="006A5850">
        <w:rPr>
          <w:b/>
          <w:u w:val="single"/>
        </w:rPr>
        <w:t>UPDATE</w:t>
      </w:r>
    </w:p>
    <w:p w14:paraId="1AAB2103" w14:textId="23D6E47A" w:rsidR="006C6F28" w:rsidRDefault="006C6F28" w:rsidP="006C6F28">
      <w:pPr>
        <w:jc w:val="both"/>
        <w:rPr>
          <w:b/>
        </w:rPr>
      </w:pPr>
      <w:bookmarkStart w:id="0" w:name="_Hlk90895373"/>
      <w:r>
        <w:rPr>
          <w:b/>
        </w:rPr>
        <w:t>COVID19 data returns – Christmas and New Year 202</w:t>
      </w:r>
      <w:r w:rsidR="003F45BA">
        <w:rPr>
          <w:b/>
        </w:rPr>
        <w:t>2</w:t>
      </w:r>
    </w:p>
    <w:bookmarkEnd w:id="0"/>
    <w:p w14:paraId="321E321A" w14:textId="77777777" w:rsidR="006C6F28" w:rsidRDefault="006C6F28" w:rsidP="006C6F28">
      <w:pPr>
        <w:jc w:val="both"/>
        <w:rPr>
          <w:b/>
        </w:rPr>
      </w:pPr>
      <w:r>
        <w:rPr>
          <w:b/>
        </w:rPr>
        <w:t>FOR ACTION</w:t>
      </w:r>
    </w:p>
    <w:p w14:paraId="01F52259" w14:textId="6D6214B7" w:rsidR="00944BFA" w:rsidRPr="00317BBF" w:rsidRDefault="006C6F28" w:rsidP="006C6F28">
      <w:pPr>
        <w:spacing w:after="0" w:line="240" w:lineRule="auto"/>
        <w:jc w:val="both"/>
        <w:rPr>
          <w:bCs/>
        </w:rPr>
      </w:pPr>
      <w:r w:rsidRPr="00317BBF">
        <w:rPr>
          <w:bCs/>
        </w:rPr>
        <w:t xml:space="preserve">This note </w:t>
      </w:r>
      <w:r w:rsidR="00944BFA" w:rsidRPr="00317BBF">
        <w:rPr>
          <w:bCs/>
        </w:rPr>
        <w:t>outlines the COVID19 reporting requirements during the Festive period.</w:t>
      </w:r>
    </w:p>
    <w:p w14:paraId="5F4BC582" w14:textId="77777777" w:rsidR="006C6F28" w:rsidRPr="00174100" w:rsidRDefault="006C6F28" w:rsidP="006C6F28">
      <w:pPr>
        <w:spacing w:after="0" w:line="240" w:lineRule="auto"/>
        <w:jc w:val="both"/>
        <w:rPr>
          <w:b/>
        </w:rPr>
      </w:pPr>
    </w:p>
    <w:p w14:paraId="78E4FCC4" w14:textId="30DB6348" w:rsidR="006C6F28" w:rsidRDefault="006C6F28" w:rsidP="006C6F28">
      <w:pPr>
        <w:spacing w:after="0" w:line="240" w:lineRule="auto"/>
        <w:jc w:val="both"/>
        <w:rPr>
          <w:b/>
        </w:rPr>
      </w:pPr>
      <w:r>
        <w:rPr>
          <w:b/>
        </w:rPr>
        <w:t>Context</w:t>
      </w:r>
    </w:p>
    <w:p w14:paraId="6B7C86D6" w14:textId="77777777" w:rsidR="003F45BA" w:rsidRDefault="003F45BA" w:rsidP="006C6F28">
      <w:pPr>
        <w:spacing w:after="0" w:line="240" w:lineRule="auto"/>
        <w:jc w:val="both"/>
      </w:pPr>
    </w:p>
    <w:p w14:paraId="2CE5D1F7" w14:textId="0BC716D4" w:rsidR="003F45BA" w:rsidRDefault="003F45BA" w:rsidP="00944BFA">
      <w:pPr>
        <w:jc w:val="both"/>
      </w:pPr>
      <w:r>
        <w:t>Cases of COVID19 remain prevalent in the community and we continue to see staff and prisoner cases</w:t>
      </w:r>
      <w:r w:rsidR="00FC1757">
        <w:t xml:space="preserve"> across the estate</w:t>
      </w:r>
      <w:r>
        <w:t>, although to a much lesser degree and severity than in previous years.</w:t>
      </w:r>
    </w:p>
    <w:p w14:paraId="1C09E10A" w14:textId="18B17976" w:rsidR="003F45BA" w:rsidRDefault="003F45BA" w:rsidP="00944BFA">
      <w:pPr>
        <w:jc w:val="both"/>
      </w:pPr>
      <w:r>
        <w:t xml:space="preserve">As we move into the New </w:t>
      </w:r>
      <w:r w:rsidR="00FC1757">
        <w:t>Year,</w:t>
      </w:r>
      <w:r>
        <w:t xml:space="preserve"> we need to continue to monitor the impact of COVID19 particularly in relation to staffing levels and prison regimes. The data will assist with early identification of potential outbreaks and </w:t>
      </w:r>
      <w:r w:rsidR="00FC1757">
        <w:t>highlight where support is needed the most.</w:t>
      </w:r>
    </w:p>
    <w:p w14:paraId="77B4FA79" w14:textId="5234B43E" w:rsidR="003F45BA" w:rsidRDefault="003F45BA" w:rsidP="00944BFA">
      <w:pPr>
        <w:jc w:val="both"/>
      </w:pPr>
      <w:r>
        <w:t xml:space="preserve">We had hoped </w:t>
      </w:r>
      <w:r w:rsidR="00FC1757">
        <w:t xml:space="preserve">to </w:t>
      </w:r>
      <w:r>
        <w:t>cease the COVID19 returns this month and move</w:t>
      </w:r>
      <w:r w:rsidR="00FC1757">
        <w:t xml:space="preserve"> to a</w:t>
      </w:r>
      <w:r>
        <w:t xml:space="preserve"> ‘Business As Usual’ </w:t>
      </w:r>
      <w:r w:rsidR="00FC1757">
        <w:t xml:space="preserve">monitoring </w:t>
      </w:r>
      <w:r>
        <w:t>approach, but th</w:t>
      </w:r>
      <w:r w:rsidR="00FC1757">
        <w:t>is</w:t>
      </w:r>
      <w:r>
        <w:t xml:space="preserve"> has not proved to be possible</w:t>
      </w:r>
      <w:r w:rsidR="00FC1757">
        <w:t xml:space="preserve"> - partly due to ongoing HMPPS dialogue with Trade Unions around the reporting of staff COVID19 related absences and revisions to the HMPPS Absence Management Policy (currently Core Guidance 3).</w:t>
      </w:r>
    </w:p>
    <w:p w14:paraId="4AF37DA6" w14:textId="3A1C0F33" w:rsidR="00F35EA3" w:rsidRPr="00F35EA3" w:rsidRDefault="00F35EA3" w:rsidP="00944BFA">
      <w:pPr>
        <w:jc w:val="both"/>
        <w:rPr>
          <w:b/>
          <w:bCs/>
        </w:rPr>
      </w:pPr>
      <w:r w:rsidRPr="00F35EA3">
        <w:rPr>
          <w:b/>
          <w:bCs/>
        </w:rPr>
        <w:t>Reduction of Reporting Requirements</w:t>
      </w:r>
    </w:p>
    <w:p w14:paraId="55D53D05" w14:textId="114C4F89" w:rsidR="00FC1757" w:rsidRDefault="0090356A" w:rsidP="00944BFA">
      <w:pPr>
        <w:jc w:val="both"/>
      </w:pPr>
      <w:r>
        <w:t>W</w:t>
      </w:r>
      <w:r w:rsidR="00FC1757">
        <w:t xml:space="preserve">e are pleased to reduce </w:t>
      </w:r>
      <w:r w:rsidR="00CE75D5">
        <w:t xml:space="preserve">prison </w:t>
      </w:r>
      <w:r w:rsidR="00FC1757">
        <w:t>reporting requirement</w:t>
      </w:r>
      <w:r w:rsidR="00F16773">
        <w:t>s</w:t>
      </w:r>
      <w:r w:rsidR="00FC1757">
        <w:t xml:space="preserve"> from twice </w:t>
      </w:r>
      <w:r w:rsidR="00F16773">
        <w:t>weekly (Tuesday &amp; Thursday)</w:t>
      </w:r>
      <w:r w:rsidR="00FC1757">
        <w:t xml:space="preserve"> to once week</w:t>
      </w:r>
      <w:r w:rsidR="00F16773">
        <w:t>ly</w:t>
      </w:r>
      <w:r w:rsidR="00FC1757">
        <w:t xml:space="preserve"> (Thursday only)</w:t>
      </w:r>
      <w:r w:rsidR="00675B0A">
        <w:t xml:space="preserve"> </w:t>
      </w:r>
      <w:r w:rsidR="00675B0A" w:rsidRPr="00F72669">
        <w:rPr>
          <w:b/>
          <w:bCs/>
          <w:u w:val="single"/>
        </w:rPr>
        <w:t xml:space="preserve">w/c </w:t>
      </w:r>
      <w:r w:rsidR="00F72669" w:rsidRPr="00F72669">
        <w:rPr>
          <w:b/>
          <w:bCs/>
          <w:u w:val="single"/>
        </w:rPr>
        <w:t>5 December 2022</w:t>
      </w:r>
      <w:r w:rsidR="00F72669" w:rsidRPr="00E672D6">
        <w:rPr>
          <w:b/>
          <w:bCs/>
        </w:rPr>
        <w:t>.</w:t>
      </w:r>
      <w:r w:rsidR="008F5A27" w:rsidRPr="00E672D6">
        <w:rPr>
          <w:b/>
          <w:bCs/>
        </w:rPr>
        <w:t xml:space="preserve"> </w:t>
      </w:r>
      <w:r w:rsidR="008F5A27" w:rsidRPr="00E672D6">
        <w:t xml:space="preserve">See </w:t>
      </w:r>
      <w:r w:rsidR="008F5A27" w:rsidRPr="00E672D6">
        <w:rPr>
          <w:b/>
          <w:bCs/>
        </w:rPr>
        <w:t>Annex A</w:t>
      </w:r>
      <w:r w:rsidR="008F5A27" w:rsidRPr="00E672D6">
        <w:t xml:space="preserve"> </w:t>
      </w:r>
      <w:r w:rsidR="00E672D6" w:rsidRPr="00E672D6">
        <w:t>for Christmas / New Year C</w:t>
      </w:r>
      <w:r w:rsidR="004E4419">
        <w:t>OVID19</w:t>
      </w:r>
      <w:r w:rsidR="00E672D6" w:rsidRPr="00E672D6">
        <w:t xml:space="preserve"> case return requirements.</w:t>
      </w:r>
      <w:r w:rsidR="00BC34CF">
        <w:t xml:space="preserve"> </w:t>
      </w:r>
      <w:r w:rsidR="001A28AE">
        <w:t>There is no change to the frequency of Probation Service returns.</w:t>
      </w:r>
    </w:p>
    <w:p w14:paraId="3923F293" w14:textId="17F52225" w:rsidR="00CE75D5" w:rsidRDefault="00FC1757" w:rsidP="00CE75D5">
      <w:pPr>
        <w:spacing w:after="0" w:line="240" w:lineRule="auto"/>
        <w:jc w:val="both"/>
      </w:pPr>
      <w:r>
        <w:t xml:space="preserve">It is essential we continue to receive up to date and timely </w:t>
      </w:r>
      <w:r w:rsidR="00CE75D5">
        <w:t xml:space="preserve">prison </w:t>
      </w:r>
      <w:r>
        <w:t xml:space="preserve">returns each Thursday. </w:t>
      </w:r>
      <w:r w:rsidR="00CE75D5">
        <w:t>Prison SPOCs should complete the local spreadsheet and return to regional offices / lead data SPOCs as normal for collation and submission to the COVID19 Resilience</w:t>
      </w:r>
      <w:r w:rsidR="004F4E66">
        <w:t xml:space="preserve"> Reporting</w:t>
      </w:r>
      <w:r w:rsidR="00CE75D5">
        <w:t xml:space="preserve"> Team functional mailbox </w:t>
      </w:r>
      <w:hyperlink r:id="rId7" w:history="1">
        <w:r w:rsidR="00CE75D5" w:rsidRPr="00004114">
          <w:rPr>
            <w:rStyle w:val="Hyperlink"/>
          </w:rPr>
          <w:t>HMPPSCOVID19@justice.gov.uk</w:t>
        </w:r>
      </w:hyperlink>
      <w:r w:rsidR="00CE75D5">
        <w:t xml:space="preserve">. HQ teams should ensure their normal arrangements are also maintained at this time. </w:t>
      </w:r>
    </w:p>
    <w:p w14:paraId="189220A1" w14:textId="77777777" w:rsidR="00CE75D5" w:rsidRDefault="00CE75D5" w:rsidP="00CE75D5">
      <w:pPr>
        <w:spacing w:after="0" w:line="240" w:lineRule="auto"/>
        <w:jc w:val="both"/>
      </w:pPr>
    </w:p>
    <w:p w14:paraId="68C0C9A0" w14:textId="331DC818" w:rsidR="00CE75D5" w:rsidRDefault="00CE75D5" w:rsidP="00CE75D5">
      <w:pPr>
        <w:spacing w:after="0" w:line="240" w:lineRule="auto"/>
        <w:jc w:val="both"/>
      </w:pPr>
      <w:r>
        <w:t xml:space="preserve">Probation Service SPOCs must submit their returns no later than 9am to </w:t>
      </w:r>
      <w:hyperlink r:id="rId8" w:history="1">
        <w:r w:rsidRPr="003358A0">
          <w:rPr>
            <w:rStyle w:val="Hyperlink"/>
          </w:rPr>
          <w:t>ProbationCovid@justice.gov.uk</w:t>
        </w:r>
      </w:hyperlink>
    </w:p>
    <w:p w14:paraId="75E1F2FC" w14:textId="4703F955" w:rsidR="00CE75D5" w:rsidRDefault="00CE75D5" w:rsidP="00CE75D5">
      <w:pPr>
        <w:spacing w:after="0" w:line="240" w:lineRule="auto"/>
        <w:jc w:val="both"/>
      </w:pPr>
    </w:p>
    <w:p w14:paraId="0E803481" w14:textId="1B700188" w:rsidR="00B959C4" w:rsidRDefault="00B959C4" w:rsidP="00317BBF">
      <w:pPr>
        <w:jc w:val="both"/>
        <w:rPr>
          <w:bCs/>
        </w:rPr>
      </w:pPr>
      <w:bookmarkStart w:id="1" w:name="_Hlk58478798"/>
      <w:r>
        <w:rPr>
          <w:bCs/>
        </w:rPr>
        <w:t xml:space="preserve">At present, these reporting requirements are expected to continue into January and will be subject to early review and communication. This means that w/c </w:t>
      </w:r>
      <w:r w:rsidR="00CE75D5">
        <w:rPr>
          <w:bCs/>
        </w:rPr>
        <w:t>2</w:t>
      </w:r>
      <w:r>
        <w:rPr>
          <w:bCs/>
        </w:rPr>
        <w:t xml:space="preserve"> January </w:t>
      </w:r>
      <w:r w:rsidR="00CE75D5">
        <w:rPr>
          <w:bCs/>
        </w:rPr>
        <w:t>a return will be required on Thursday 5 January and each Thursday until further notice.</w:t>
      </w:r>
    </w:p>
    <w:p w14:paraId="32F78404" w14:textId="17EE8576" w:rsidR="00CE75D5" w:rsidRPr="00CE75D5" w:rsidRDefault="00CE75D5" w:rsidP="00317BBF">
      <w:pPr>
        <w:jc w:val="both"/>
        <w:rPr>
          <w:b/>
        </w:rPr>
      </w:pPr>
      <w:r w:rsidRPr="00CE75D5">
        <w:rPr>
          <w:b/>
        </w:rPr>
        <w:t xml:space="preserve">COVID19 </w:t>
      </w:r>
      <w:r w:rsidR="00A70360" w:rsidRPr="00CE75D5">
        <w:rPr>
          <w:b/>
        </w:rPr>
        <w:t xml:space="preserve">Fatalities </w:t>
      </w:r>
      <w:r w:rsidR="00A70360">
        <w:rPr>
          <w:b/>
        </w:rPr>
        <w:t xml:space="preserve">and </w:t>
      </w:r>
      <w:r w:rsidRPr="00CE75D5">
        <w:rPr>
          <w:b/>
        </w:rPr>
        <w:t xml:space="preserve">Hospitalisations </w:t>
      </w:r>
    </w:p>
    <w:p w14:paraId="7E9464DF" w14:textId="3A9ED83B" w:rsidR="009311F5" w:rsidRDefault="009311F5" w:rsidP="003F7B7B">
      <w:pPr>
        <w:spacing w:after="0" w:line="240" w:lineRule="auto"/>
        <w:jc w:val="both"/>
      </w:pPr>
      <w:r>
        <w:t xml:space="preserve">All COVID19 related </w:t>
      </w:r>
      <w:r w:rsidR="001B122B">
        <w:t>fatalities</w:t>
      </w:r>
      <w:r>
        <w:t xml:space="preserve"> (staff, prisoner</w:t>
      </w:r>
      <w:r w:rsidR="00A70360">
        <w:t>,</w:t>
      </w:r>
      <w:r>
        <w:t xml:space="preserve"> and people on probation) must continue to be reported without delay to </w:t>
      </w:r>
      <w:r w:rsidR="003F7B7B">
        <w:t xml:space="preserve">the National </w:t>
      </w:r>
      <w:r>
        <w:t>I</w:t>
      </w:r>
      <w:r w:rsidR="003F7B7B">
        <w:t xml:space="preserve">ncident </w:t>
      </w:r>
      <w:r>
        <w:t>M</w:t>
      </w:r>
      <w:r w:rsidR="003F7B7B">
        <w:t xml:space="preserve">anagement Unit (NIMU) </w:t>
      </w:r>
      <w:r>
        <w:t>and the COVID19 Re</w:t>
      </w:r>
      <w:r w:rsidR="00CE75D5">
        <w:t>silience</w:t>
      </w:r>
      <w:r w:rsidR="004F4E66">
        <w:t xml:space="preserve"> Reporting</w:t>
      </w:r>
      <w:r>
        <w:t xml:space="preserve"> Team</w:t>
      </w:r>
      <w:r w:rsidR="003F7B7B">
        <w:t>, Functional Mail</w:t>
      </w:r>
      <w:r w:rsidR="0021428B">
        <w:t xml:space="preserve"> </w:t>
      </w:r>
      <w:r w:rsidR="003F7B7B">
        <w:t xml:space="preserve">Box (FMB): </w:t>
      </w:r>
      <w:hyperlink r:id="rId9" w:history="1">
        <w:r w:rsidR="003F7B7B" w:rsidRPr="00F063FD">
          <w:rPr>
            <w:rStyle w:val="Hyperlink"/>
          </w:rPr>
          <w:t>HMPPSCOVID19@justice.gov.uk</w:t>
        </w:r>
      </w:hyperlink>
      <w:r>
        <w:t>.</w:t>
      </w:r>
      <w:r w:rsidR="00D44FFC">
        <w:t xml:space="preserve"> All COVID19 related hospitalisations </w:t>
      </w:r>
      <w:r w:rsidR="00216A82">
        <w:t xml:space="preserve">(staff, </w:t>
      </w:r>
      <w:r w:rsidR="00A70360">
        <w:t>prisoner,</w:t>
      </w:r>
      <w:r w:rsidR="00216A82">
        <w:t xml:space="preserve"> and people on </w:t>
      </w:r>
      <w:r w:rsidR="009D0E33">
        <w:t>p</w:t>
      </w:r>
      <w:r w:rsidR="00216A82">
        <w:t xml:space="preserve">robation) </w:t>
      </w:r>
      <w:r w:rsidR="00D44FFC">
        <w:t xml:space="preserve">must also be notified without delay to the </w:t>
      </w:r>
      <w:r w:rsidR="00216A82">
        <w:t xml:space="preserve">Resilience </w:t>
      </w:r>
      <w:r w:rsidR="00301853">
        <w:t>R</w:t>
      </w:r>
      <w:r w:rsidR="00216A82">
        <w:t>eporting Team FMB.</w:t>
      </w:r>
    </w:p>
    <w:p w14:paraId="0B45072F" w14:textId="723147D3" w:rsidR="006626A6" w:rsidRDefault="006626A6" w:rsidP="006C6F28">
      <w:pPr>
        <w:spacing w:after="0" w:line="240" w:lineRule="auto"/>
        <w:jc w:val="both"/>
      </w:pPr>
    </w:p>
    <w:p w14:paraId="46428854" w14:textId="1B2A8699" w:rsidR="00CE75D5" w:rsidRPr="00CE75D5" w:rsidRDefault="006626A6" w:rsidP="006C6F28">
      <w:pPr>
        <w:spacing w:after="0" w:line="240" w:lineRule="auto"/>
        <w:jc w:val="both"/>
        <w:rPr>
          <w:b/>
          <w:bCs/>
        </w:rPr>
      </w:pPr>
      <w:r w:rsidRPr="00CE75D5">
        <w:rPr>
          <w:b/>
          <w:bCs/>
        </w:rPr>
        <w:t xml:space="preserve">Reporting by </w:t>
      </w:r>
      <w:r w:rsidR="00425C31">
        <w:rPr>
          <w:b/>
          <w:bCs/>
        </w:rPr>
        <w:t>E</w:t>
      </w:r>
      <w:r w:rsidRPr="00CE75D5">
        <w:rPr>
          <w:b/>
          <w:bCs/>
        </w:rPr>
        <w:t>xception</w:t>
      </w:r>
    </w:p>
    <w:p w14:paraId="7894A423" w14:textId="77777777" w:rsidR="00CE75D5" w:rsidRDefault="00CE75D5" w:rsidP="006C6F28">
      <w:pPr>
        <w:spacing w:after="0" w:line="240" w:lineRule="auto"/>
        <w:jc w:val="both"/>
      </w:pPr>
    </w:p>
    <w:p w14:paraId="679D5ADE" w14:textId="11BE8DD1" w:rsidR="006626A6" w:rsidRDefault="00CE75D5" w:rsidP="006C6F28">
      <w:pPr>
        <w:spacing w:after="0" w:line="240" w:lineRule="auto"/>
        <w:jc w:val="both"/>
      </w:pPr>
      <w:r>
        <w:t>O</w:t>
      </w:r>
      <w:r w:rsidR="006626A6">
        <w:t xml:space="preserve">n non-reporting days any rapid escalation of cases </w:t>
      </w:r>
      <w:r w:rsidR="00C77720">
        <w:t>must be</w:t>
      </w:r>
      <w:r w:rsidR="006626A6">
        <w:t xml:space="preserve"> flagged up to the COVID19 Re</w:t>
      </w:r>
      <w:r>
        <w:t>silience</w:t>
      </w:r>
      <w:r w:rsidR="006626A6">
        <w:t xml:space="preserve"> </w:t>
      </w:r>
      <w:r w:rsidR="004F4E66">
        <w:t xml:space="preserve">Reporting </w:t>
      </w:r>
      <w:r w:rsidR="006626A6">
        <w:t>Team</w:t>
      </w:r>
      <w:r w:rsidR="009311F5">
        <w:t xml:space="preserve"> </w:t>
      </w:r>
      <w:r w:rsidR="003F7B7B">
        <w:t xml:space="preserve">FMB </w:t>
      </w:r>
      <w:r w:rsidR="009311F5">
        <w:t>without delay</w:t>
      </w:r>
      <w:r w:rsidR="005F3E1F">
        <w:t>.</w:t>
      </w:r>
    </w:p>
    <w:p w14:paraId="2A27A0C8" w14:textId="77777777" w:rsidR="009311F5" w:rsidRDefault="009311F5" w:rsidP="009311F5">
      <w:pPr>
        <w:spacing w:after="0" w:line="240" w:lineRule="auto"/>
        <w:jc w:val="both"/>
        <w:rPr>
          <w:b/>
        </w:rPr>
      </w:pPr>
      <w:bookmarkStart w:id="2" w:name="_Hlk58859576"/>
      <w:bookmarkEnd w:id="1"/>
    </w:p>
    <w:p w14:paraId="7097E9F6" w14:textId="77777777" w:rsidR="004F4E66" w:rsidRDefault="004F4E66" w:rsidP="006C6F28">
      <w:pPr>
        <w:spacing w:after="0" w:line="240" w:lineRule="auto"/>
        <w:jc w:val="both"/>
        <w:rPr>
          <w:b/>
        </w:rPr>
      </w:pPr>
    </w:p>
    <w:p w14:paraId="448CE618" w14:textId="77777777" w:rsidR="00301853" w:rsidRDefault="00301853" w:rsidP="006C6F28">
      <w:pPr>
        <w:spacing w:after="0" w:line="240" w:lineRule="auto"/>
        <w:jc w:val="both"/>
        <w:rPr>
          <w:b/>
        </w:rPr>
      </w:pPr>
    </w:p>
    <w:p w14:paraId="65C2C492" w14:textId="4E3AE5C0" w:rsidR="006C6F28" w:rsidRPr="00643118" w:rsidRDefault="006C6F28" w:rsidP="006C6F2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Maintenance of Local </w:t>
      </w:r>
      <w:r w:rsidR="006626A6">
        <w:rPr>
          <w:b/>
        </w:rPr>
        <w:t xml:space="preserve">COVID19 </w:t>
      </w:r>
      <w:r>
        <w:rPr>
          <w:b/>
        </w:rPr>
        <w:t>Spreadsheets</w:t>
      </w:r>
    </w:p>
    <w:p w14:paraId="17819ACF" w14:textId="77777777" w:rsidR="006626A6" w:rsidRPr="006626A6" w:rsidRDefault="006626A6" w:rsidP="006626A6">
      <w:pPr>
        <w:spacing w:after="0" w:line="240" w:lineRule="auto"/>
        <w:jc w:val="both"/>
      </w:pPr>
    </w:p>
    <w:p w14:paraId="7BFC0128" w14:textId="6B7906A1" w:rsidR="006C6F28" w:rsidRDefault="006C6F28" w:rsidP="006C6F28">
      <w:pPr>
        <w:spacing w:after="0" w:line="240" w:lineRule="auto"/>
        <w:jc w:val="both"/>
      </w:pPr>
      <w:r>
        <w:t xml:space="preserve">In view of the period between submission of data on </w:t>
      </w:r>
      <w:r w:rsidR="00CE75D5">
        <w:t>Thursday 22</w:t>
      </w:r>
      <w:r>
        <w:rPr>
          <w:vertAlign w:val="superscript"/>
        </w:rPr>
        <w:t xml:space="preserve"> </w:t>
      </w:r>
      <w:r>
        <w:t xml:space="preserve">December and the next required return on </w:t>
      </w:r>
      <w:r w:rsidR="008530B3">
        <w:t>Thursday 5 January</w:t>
      </w:r>
      <w:r w:rsidRPr="000F15CF">
        <w:t>,</w:t>
      </w:r>
      <w:r>
        <w:t xml:space="preserve"> </w:t>
      </w:r>
      <w:r w:rsidR="00346352">
        <w:t>P</w:t>
      </w:r>
      <w:r>
        <w:t xml:space="preserve">risons, </w:t>
      </w:r>
      <w:r w:rsidR="00F614FF">
        <w:t>t</w:t>
      </w:r>
      <w:r>
        <w:t xml:space="preserve">he Probation Service and other teams are advised to consider how new cases, and updates to existing cases are tracked </w:t>
      </w:r>
      <w:r w:rsidR="00940070">
        <w:t>in readiness for reporting.</w:t>
      </w:r>
    </w:p>
    <w:p w14:paraId="0DC55FDC" w14:textId="77777777" w:rsidR="006C6F28" w:rsidRDefault="006C6F28" w:rsidP="006C6F28">
      <w:pPr>
        <w:spacing w:after="0" w:line="240" w:lineRule="auto"/>
        <w:jc w:val="both"/>
      </w:pPr>
    </w:p>
    <w:p w14:paraId="4898F535" w14:textId="345A7954" w:rsidR="006C6F28" w:rsidRDefault="006C6F28" w:rsidP="006C6F28">
      <w:pPr>
        <w:spacing w:after="0" w:line="240" w:lineRule="auto"/>
        <w:jc w:val="both"/>
      </w:pPr>
      <w:r>
        <w:t xml:space="preserve">Consideration </w:t>
      </w:r>
      <w:r w:rsidR="001F7A1B">
        <w:t>should</w:t>
      </w:r>
      <w:r>
        <w:t xml:space="preserve"> be given to operational managers on duty over the Christmas </w:t>
      </w:r>
      <w:r w:rsidR="001F7A1B">
        <w:t xml:space="preserve">and New Year </w:t>
      </w:r>
      <w:r>
        <w:t>weekend</w:t>
      </w:r>
      <w:r w:rsidR="00D81F2A">
        <w:t>s</w:t>
      </w:r>
      <w:r>
        <w:t xml:space="preserve"> having light-touch oversight of local spreadsheets. Probation, HQ and Regional teams should consider how they will </w:t>
      </w:r>
      <w:r w:rsidR="001F7A1B">
        <w:t xml:space="preserve">also </w:t>
      </w:r>
      <w:r>
        <w:t>report accurately T</w:t>
      </w:r>
      <w:r w:rsidR="00CE75D5">
        <w:t>hursday 5</w:t>
      </w:r>
      <w:r>
        <w:t xml:space="preserve"> January</w:t>
      </w:r>
      <w:bookmarkEnd w:id="2"/>
      <w:r w:rsidR="006626A6">
        <w:t>.</w:t>
      </w:r>
    </w:p>
    <w:p w14:paraId="76F3E499" w14:textId="77777777" w:rsidR="00317BBF" w:rsidRDefault="00317BBF" w:rsidP="006C6F28">
      <w:pPr>
        <w:spacing w:after="0" w:line="240" w:lineRule="auto"/>
        <w:jc w:val="both"/>
        <w:rPr>
          <w:b/>
        </w:rPr>
      </w:pPr>
    </w:p>
    <w:p w14:paraId="2F03BCE2" w14:textId="4682E032" w:rsidR="006C6F28" w:rsidRDefault="006C6F28" w:rsidP="006C6F28">
      <w:pPr>
        <w:spacing w:after="0" w:line="240" w:lineRule="auto"/>
        <w:jc w:val="both"/>
        <w:rPr>
          <w:b/>
        </w:rPr>
      </w:pPr>
      <w:r>
        <w:rPr>
          <w:b/>
        </w:rPr>
        <w:t xml:space="preserve">COVID19 </w:t>
      </w:r>
      <w:r w:rsidR="004F4E66">
        <w:rPr>
          <w:b/>
        </w:rPr>
        <w:t xml:space="preserve">Resilience </w:t>
      </w:r>
      <w:r>
        <w:rPr>
          <w:b/>
        </w:rPr>
        <w:t>Reporting Team</w:t>
      </w:r>
      <w:r w:rsidR="006626A6">
        <w:rPr>
          <w:b/>
        </w:rPr>
        <w:t xml:space="preserve"> (support and guidance)</w:t>
      </w:r>
    </w:p>
    <w:p w14:paraId="25DFA80C" w14:textId="77777777" w:rsidR="00EF24FA" w:rsidRDefault="00EF24FA" w:rsidP="006C6F28">
      <w:pPr>
        <w:spacing w:after="0" w:line="240" w:lineRule="auto"/>
        <w:jc w:val="both"/>
        <w:rPr>
          <w:b/>
        </w:rPr>
      </w:pPr>
    </w:p>
    <w:p w14:paraId="3D7200A5" w14:textId="00AD80F5" w:rsidR="006C6F28" w:rsidRDefault="006C6F28" w:rsidP="006C6F28">
      <w:pPr>
        <w:spacing w:after="0" w:line="240" w:lineRule="auto"/>
      </w:pPr>
      <w:r w:rsidRPr="004338E9">
        <w:t xml:space="preserve">Guidance and support will be </w:t>
      </w:r>
      <w:r>
        <w:t xml:space="preserve">available from the COVID19 </w:t>
      </w:r>
      <w:r w:rsidR="004F4E66">
        <w:t xml:space="preserve">Resilience </w:t>
      </w:r>
      <w:r>
        <w:t>Reporting Team throughout the Christmas and New Year period (contact details can be found on the Gold Duty Roster); and the functional mailbox which will also monitored throughout the Christmas and New Year Period:</w:t>
      </w:r>
    </w:p>
    <w:p w14:paraId="1094D1FC" w14:textId="2252BD0F" w:rsidR="006626A6" w:rsidRPr="00317BBF" w:rsidRDefault="00081AF3" w:rsidP="006C6F28">
      <w:pPr>
        <w:spacing w:after="0" w:line="240" w:lineRule="auto"/>
        <w:ind w:right="521"/>
      </w:pPr>
      <w:hyperlink r:id="rId10" w:history="1">
        <w:r w:rsidR="006C6F28" w:rsidRPr="00183084">
          <w:rPr>
            <w:rStyle w:val="Hyperlink"/>
          </w:rPr>
          <w:t>HMPPSCOVID19@justice.gov.uk</w:t>
        </w:r>
      </w:hyperlink>
      <w:r w:rsidR="006C6F28">
        <w:t xml:space="preserve"> .</w:t>
      </w:r>
    </w:p>
    <w:p w14:paraId="4CEA0393" w14:textId="77777777" w:rsidR="006626A6" w:rsidRDefault="006626A6" w:rsidP="006C6F28">
      <w:pPr>
        <w:spacing w:after="0" w:line="240" w:lineRule="auto"/>
        <w:ind w:right="521"/>
        <w:rPr>
          <w:b/>
          <w:bCs/>
        </w:rPr>
      </w:pPr>
    </w:p>
    <w:p w14:paraId="30F569E0" w14:textId="77777777" w:rsidR="006C6F28" w:rsidRPr="006D7A98" w:rsidRDefault="006C6F28" w:rsidP="006C6F28">
      <w:pPr>
        <w:spacing w:after="0" w:line="240" w:lineRule="auto"/>
        <w:ind w:right="521"/>
        <w:rPr>
          <w:b/>
          <w:bCs/>
        </w:rPr>
      </w:pPr>
      <w:r w:rsidRPr="006D7A98">
        <w:rPr>
          <w:b/>
          <w:bCs/>
        </w:rPr>
        <w:t xml:space="preserve">Annex </w:t>
      </w:r>
      <w:r>
        <w:rPr>
          <w:b/>
          <w:bCs/>
        </w:rPr>
        <w:t>A</w:t>
      </w:r>
    </w:p>
    <w:p w14:paraId="51EB825A" w14:textId="57C97304" w:rsidR="006C6F28" w:rsidRDefault="007E06D5" w:rsidP="006C6F28">
      <w:pPr>
        <w:spacing w:after="0" w:line="240" w:lineRule="auto"/>
      </w:pPr>
      <w:r>
        <w:t xml:space="preserve">Christmas / </w:t>
      </w:r>
      <w:r w:rsidR="000B5DF3">
        <w:t>N</w:t>
      </w:r>
      <w:r>
        <w:t xml:space="preserve">ew Year </w:t>
      </w:r>
      <w:r w:rsidR="006C6F28">
        <w:t xml:space="preserve">Reporting </w:t>
      </w:r>
      <w:r>
        <w:t>S</w:t>
      </w:r>
      <w:r w:rsidR="006C6F28">
        <w:t>chedule:</w:t>
      </w:r>
    </w:p>
    <w:tbl>
      <w:tblPr>
        <w:tblpPr w:leftFromText="180" w:rightFromText="180" w:vertAnchor="text" w:horzAnchor="margin" w:tblpY="486"/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4394"/>
        <w:gridCol w:w="3544"/>
      </w:tblGrid>
      <w:tr w:rsidR="006C6F28" w14:paraId="48CF8956" w14:textId="77777777" w:rsidTr="00B4740F">
        <w:trPr>
          <w:trHeight w:val="41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49794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67DD4A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HMPPS Business Area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10F2B" w14:textId="77777777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COVID19 return required</w:t>
            </w:r>
          </w:p>
        </w:tc>
      </w:tr>
      <w:tr w:rsidR="006C6F28" w14:paraId="65DBCE6A" w14:textId="77777777" w:rsidTr="00B4740F">
        <w:trPr>
          <w:trHeight w:val="2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4823B" w14:textId="0F9BE7B4" w:rsidR="006C6F28" w:rsidRDefault="005F1745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W/C Monday 19 December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4F10A" w14:textId="2AD15D9A" w:rsidR="006C6F28" w:rsidRDefault="006C6F28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Prisons </w:t>
            </w:r>
            <w:r w:rsidR="00317BBF">
              <w:rPr>
                <w:color w:val="000000"/>
                <w:lang w:eastAsia="en-GB"/>
              </w:rPr>
              <w:t>and Probation Service, incl EM</w:t>
            </w:r>
            <w:r w:rsidR="00CE1346">
              <w:rPr>
                <w:color w:val="000000"/>
                <w:lang w:eastAsia="en-GB"/>
              </w:rPr>
              <w:t xml:space="preserve">, </w:t>
            </w:r>
            <w:r w:rsidR="00317BBF">
              <w:rPr>
                <w:color w:val="000000"/>
                <w:lang w:eastAsia="en-GB"/>
              </w:rPr>
              <w:t>PECS</w:t>
            </w:r>
            <w:r w:rsidR="00CE1346">
              <w:rPr>
                <w:color w:val="000000"/>
                <w:lang w:eastAsia="en-GB"/>
              </w:rPr>
              <w:t xml:space="preserve">  </w:t>
            </w:r>
            <w:r w:rsidR="00CE1346">
              <w:rPr>
                <w:color w:val="000000"/>
                <w:lang w:eastAsia="en-GB"/>
              </w:rPr>
              <w:t>and Directorate / business units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00424" w14:textId="77E069FA" w:rsidR="006C6F28" w:rsidRPr="00D93E46" w:rsidRDefault="006C6F28" w:rsidP="009206F0">
            <w:pPr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D93E46">
              <w:rPr>
                <w:rFonts w:cstheme="minorHAnsi"/>
                <w:b/>
                <w:bCs/>
                <w:color w:val="000000"/>
                <w:lang w:eastAsia="en-GB"/>
              </w:rPr>
              <w:t>Yes</w:t>
            </w:r>
            <w:r w:rsidR="005F1745">
              <w:rPr>
                <w:rFonts w:cstheme="minorHAnsi"/>
                <w:b/>
                <w:bCs/>
                <w:color w:val="000000"/>
                <w:lang w:eastAsia="en-GB"/>
              </w:rPr>
              <w:t xml:space="preserve">, Thursday </w:t>
            </w:r>
            <w:r w:rsidR="00E210F9">
              <w:rPr>
                <w:rFonts w:cstheme="minorHAnsi"/>
                <w:b/>
                <w:bCs/>
                <w:color w:val="000000"/>
                <w:lang w:eastAsia="en-GB"/>
              </w:rPr>
              <w:t xml:space="preserve">22 December </w:t>
            </w:r>
          </w:p>
        </w:tc>
      </w:tr>
      <w:tr w:rsidR="00EE770A" w14:paraId="0FBB4E62" w14:textId="77777777" w:rsidTr="00494431">
        <w:trPr>
          <w:trHeight w:val="2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AA3BB" w14:textId="06BBA975" w:rsidR="00EE770A" w:rsidRDefault="00EE770A" w:rsidP="009206F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Nil COVID19 case return requirements 24/25/26/27 December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42064" w14:textId="4B18089A" w:rsidR="00EE770A" w:rsidRPr="00D93E46" w:rsidRDefault="00EE770A" w:rsidP="00CB1B39">
            <w:pPr>
              <w:rPr>
                <w:rFonts w:cstheme="minorHAnsi"/>
                <w:b/>
                <w:bCs/>
                <w:lang w:eastAsia="en-GB"/>
              </w:rPr>
            </w:pPr>
            <w:r w:rsidRPr="004E79AD">
              <w:rPr>
                <w:rFonts w:cstheme="minorHAnsi"/>
                <w:b/>
                <w:bCs/>
                <w:color w:val="FF0000"/>
                <w:lang w:eastAsia="en-GB"/>
              </w:rPr>
              <w:t>Reporting by exception</w:t>
            </w:r>
            <w:r>
              <w:rPr>
                <w:rFonts w:cstheme="minorHAnsi"/>
                <w:b/>
                <w:bCs/>
                <w:color w:val="FF0000"/>
                <w:lang w:eastAsia="en-GB"/>
              </w:rPr>
              <w:t xml:space="preserve"> only</w:t>
            </w:r>
          </w:p>
        </w:tc>
      </w:tr>
      <w:tr w:rsidR="00EE770A" w14:paraId="082C5BDF" w14:textId="77777777" w:rsidTr="001F3291">
        <w:trPr>
          <w:trHeight w:val="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F4602" w14:textId="769100EF" w:rsidR="00EE770A" w:rsidRDefault="00EE770A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          29 December</w:t>
            </w:r>
          </w:p>
          <w:p w14:paraId="1FBAC5F8" w14:textId="43D31CFD" w:rsidR="00EE770A" w:rsidRDefault="00EE770A" w:rsidP="009206F0">
            <w:pPr>
              <w:rPr>
                <w:color w:val="000000"/>
                <w:lang w:eastAsia="en-GB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EC6C6" w14:textId="63E0C817" w:rsidR="00EE770A" w:rsidRPr="00D93E46" w:rsidRDefault="003D12D8" w:rsidP="00CB1B39">
            <w:pPr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color w:val="FF0000"/>
                <w:lang w:eastAsia="en-GB"/>
              </w:rPr>
              <w:t>No COVID1</w:t>
            </w:r>
            <w:r w:rsidR="00CB1B39">
              <w:rPr>
                <w:rFonts w:cstheme="minorHAnsi"/>
                <w:b/>
                <w:bCs/>
                <w:color w:val="FF0000"/>
                <w:lang w:eastAsia="en-GB"/>
              </w:rPr>
              <w:t>9</w:t>
            </w:r>
            <w:r>
              <w:rPr>
                <w:rFonts w:cstheme="minorHAnsi"/>
                <w:b/>
                <w:bCs/>
                <w:color w:val="FF0000"/>
                <w:lang w:eastAsia="en-GB"/>
              </w:rPr>
              <w:t xml:space="preserve"> case returns required - r</w:t>
            </w:r>
            <w:r w:rsidR="00EE770A" w:rsidRPr="004E79AD">
              <w:rPr>
                <w:rFonts w:cstheme="minorHAnsi"/>
                <w:b/>
                <w:bCs/>
                <w:color w:val="FF0000"/>
                <w:lang w:eastAsia="en-GB"/>
              </w:rPr>
              <w:t>eporting by exception</w:t>
            </w:r>
            <w:r w:rsidR="00EE770A">
              <w:rPr>
                <w:rFonts w:cstheme="minorHAnsi"/>
                <w:b/>
                <w:bCs/>
                <w:color w:val="FF0000"/>
                <w:lang w:eastAsia="en-GB"/>
              </w:rPr>
              <w:t xml:space="preserve"> only</w:t>
            </w:r>
          </w:p>
        </w:tc>
      </w:tr>
      <w:tr w:rsidR="00EE770A" w14:paraId="3FE6B6D2" w14:textId="77777777" w:rsidTr="005046F0">
        <w:trPr>
          <w:trHeight w:val="2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D277F" w14:textId="40CA70FB" w:rsidR="00EE770A" w:rsidRDefault="00EE770A" w:rsidP="009206F0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Nil COVID19 Case return requirements between 30 December &amp; 4 January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475C4" w14:textId="48709887" w:rsidR="00EE770A" w:rsidRPr="00D93E46" w:rsidRDefault="00EE770A" w:rsidP="00CB1B39">
            <w:pPr>
              <w:rPr>
                <w:rFonts w:cstheme="minorHAnsi"/>
                <w:b/>
                <w:bCs/>
                <w:lang w:eastAsia="en-GB"/>
              </w:rPr>
            </w:pPr>
            <w:r w:rsidRPr="004E79AD">
              <w:rPr>
                <w:rFonts w:cstheme="minorHAnsi"/>
                <w:b/>
                <w:bCs/>
                <w:color w:val="FF0000"/>
                <w:lang w:eastAsia="en-GB"/>
              </w:rPr>
              <w:t xml:space="preserve">Reporting by exception </w:t>
            </w:r>
            <w:r>
              <w:rPr>
                <w:rFonts w:cstheme="minorHAnsi"/>
                <w:b/>
                <w:bCs/>
                <w:color w:val="FF0000"/>
                <w:lang w:eastAsia="en-GB"/>
              </w:rPr>
              <w:t>only</w:t>
            </w:r>
          </w:p>
        </w:tc>
      </w:tr>
      <w:tr w:rsidR="006C6F28" w14:paraId="526871D0" w14:textId="77777777" w:rsidTr="00B4740F">
        <w:trPr>
          <w:trHeight w:val="288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06F3B" w14:textId="0D0534A0" w:rsidR="006C6F28" w:rsidRPr="00E0434E" w:rsidRDefault="006D41DA" w:rsidP="009206F0">
            <w:pPr>
              <w:rPr>
                <w:lang w:eastAsia="en-GB"/>
              </w:rPr>
            </w:pPr>
            <w:r w:rsidRPr="006D41DA">
              <w:rPr>
                <w:lang w:eastAsia="en-GB"/>
              </w:rPr>
              <w:t xml:space="preserve">Thursday </w:t>
            </w:r>
            <w:r w:rsidR="00E0434E">
              <w:rPr>
                <w:lang w:eastAsia="en-GB"/>
              </w:rPr>
              <w:t xml:space="preserve">      </w:t>
            </w:r>
            <w:r w:rsidRPr="006D41DA">
              <w:rPr>
                <w:lang w:eastAsia="en-GB"/>
              </w:rPr>
              <w:t>5 January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7F536" w14:textId="620EAFC1" w:rsidR="006C6F28" w:rsidRDefault="00EE770A" w:rsidP="009206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Prisons and Probation Service, incl EM, PECS and Directorate / business units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6FD19" w14:textId="7DE30F6C" w:rsidR="006C6F28" w:rsidRPr="00A8012D" w:rsidRDefault="00A8012D" w:rsidP="009206F0">
            <w:pPr>
              <w:jc w:val="center"/>
              <w:rPr>
                <w:b/>
                <w:bCs/>
                <w:lang w:eastAsia="en-GB"/>
              </w:rPr>
            </w:pPr>
            <w:r w:rsidRPr="00A8012D">
              <w:rPr>
                <w:b/>
                <w:bCs/>
                <w:lang w:eastAsia="en-GB"/>
              </w:rPr>
              <w:t>Yes</w:t>
            </w:r>
          </w:p>
        </w:tc>
      </w:tr>
    </w:tbl>
    <w:p w14:paraId="14064F6C" w14:textId="77777777" w:rsidR="009311F5" w:rsidRDefault="009311F5"/>
    <w:p w14:paraId="191E11D7" w14:textId="1F21CA64" w:rsidR="003F7B7B" w:rsidRDefault="009111FD">
      <w:r>
        <w:t>Reporting</w:t>
      </w:r>
      <w:r w:rsidR="00A64D40">
        <w:t xml:space="preserve"> continues each Thursday pending early review in 2023.</w:t>
      </w:r>
    </w:p>
    <w:p w14:paraId="24E89F23" w14:textId="77777777" w:rsidR="003F7B7B" w:rsidRDefault="003F7B7B"/>
    <w:sectPr w:rsidR="003F7B7B" w:rsidSect="003F7B7B">
      <w:footerReference w:type="default" r:id="rId11"/>
      <w:pgSz w:w="11906" w:h="16838"/>
      <w:pgMar w:top="127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C6CC" w14:textId="77777777" w:rsidR="00081AF3" w:rsidRDefault="00081AF3" w:rsidP="003F7B7B">
      <w:pPr>
        <w:spacing w:after="0" w:line="240" w:lineRule="auto"/>
      </w:pPr>
      <w:r>
        <w:separator/>
      </w:r>
    </w:p>
  </w:endnote>
  <w:endnote w:type="continuationSeparator" w:id="0">
    <w:p w14:paraId="2B0DD136" w14:textId="77777777" w:rsidR="00081AF3" w:rsidRDefault="00081AF3" w:rsidP="003F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2757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60966" w14:textId="7D3CF8A7" w:rsidR="003F7B7B" w:rsidRDefault="003F7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4DD78" w14:textId="77777777" w:rsidR="003F7B7B" w:rsidRDefault="003F7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954F" w14:textId="77777777" w:rsidR="00081AF3" w:rsidRDefault="00081AF3" w:rsidP="003F7B7B">
      <w:pPr>
        <w:spacing w:after="0" w:line="240" w:lineRule="auto"/>
      </w:pPr>
      <w:r>
        <w:separator/>
      </w:r>
    </w:p>
  </w:footnote>
  <w:footnote w:type="continuationSeparator" w:id="0">
    <w:p w14:paraId="46657C36" w14:textId="77777777" w:rsidR="00081AF3" w:rsidRDefault="00081AF3" w:rsidP="003F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81C37"/>
    <w:multiLevelType w:val="hybridMultilevel"/>
    <w:tmpl w:val="56CC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8"/>
    <w:rsid w:val="00023A91"/>
    <w:rsid w:val="00066B61"/>
    <w:rsid w:val="00081AF3"/>
    <w:rsid w:val="00084D0B"/>
    <w:rsid w:val="000B5DF3"/>
    <w:rsid w:val="000F20FD"/>
    <w:rsid w:val="00107C47"/>
    <w:rsid w:val="001625D0"/>
    <w:rsid w:val="00162CDA"/>
    <w:rsid w:val="00182050"/>
    <w:rsid w:val="001A28AE"/>
    <w:rsid w:val="001A6754"/>
    <w:rsid w:val="001B122B"/>
    <w:rsid w:val="001F7A1B"/>
    <w:rsid w:val="0021428B"/>
    <w:rsid w:val="0021494F"/>
    <w:rsid w:val="00216A82"/>
    <w:rsid w:val="002A6488"/>
    <w:rsid w:val="00301853"/>
    <w:rsid w:val="0031206D"/>
    <w:rsid w:val="00315C5F"/>
    <w:rsid w:val="00317BBF"/>
    <w:rsid w:val="00346352"/>
    <w:rsid w:val="00385881"/>
    <w:rsid w:val="003D12D8"/>
    <w:rsid w:val="003F45BA"/>
    <w:rsid w:val="003F7B7B"/>
    <w:rsid w:val="00406614"/>
    <w:rsid w:val="004130C5"/>
    <w:rsid w:val="00425C31"/>
    <w:rsid w:val="004341F1"/>
    <w:rsid w:val="00441DB5"/>
    <w:rsid w:val="004E042C"/>
    <w:rsid w:val="004E4419"/>
    <w:rsid w:val="004E79AD"/>
    <w:rsid w:val="004F4E66"/>
    <w:rsid w:val="0051225E"/>
    <w:rsid w:val="00543D17"/>
    <w:rsid w:val="005F1745"/>
    <w:rsid w:val="005F3E1F"/>
    <w:rsid w:val="00613A28"/>
    <w:rsid w:val="00621A4C"/>
    <w:rsid w:val="006361A7"/>
    <w:rsid w:val="00637300"/>
    <w:rsid w:val="00662596"/>
    <w:rsid w:val="006626A6"/>
    <w:rsid w:val="00665130"/>
    <w:rsid w:val="00675B0A"/>
    <w:rsid w:val="00684B00"/>
    <w:rsid w:val="00697BC8"/>
    <w:rsid w:val="006A5850"/>
    <w:rsid w:val="006B0133"/>
    <w:rsid w:val="006C6F28"/>
    <w:rsid w:val="006D41DA"/>
    <w:rsid w:val="007E06D5"/>
    <w:rsid w:val="008001D8"/>
    <w:rsid w:val="008530B3"/>
    <w:rsid w:val="00885330"/>
    <w:rsid w:val="008A08AF"/>
    <w:rsid w:val="008F5A27"/>
    <w:rsid w:val="0090356A"/>
    <w:rsid w:val="009111FD"/>
    <w:rsid w:val="00913999"/>
    <w:rsid w:val="009214A0"/>
    <w:rsid w:val="009311F5"/>
    <w:rsid w:val="00940070"/>
    <w:rsid w:val="00944BFA"/>
    <w:rsid w:val="00963121"/>
    <w:rsid w:val="009D0E33"/>
    <w:rsid w:val="009F2F12"/>
    <w:rsid w:val="00A00934"/>
    <w:rsid w:val="00A64755"/>
    <w:rsid w:val="00A64D40"/>
    <w:rsid w:val="00A70360"/>
    <w:rsid w:val="00A8012D"/>
    <w:rsid w:val="00AD3922"/>
    <w:rsid w:val="00B46868"/>
    <w:rsid w:val="00B4740F"/>
    <w:rsid w:val="00B959C4"/>
    <w:rsid w:val="00BC34CF"/>
    <w:rsid w:val="00C77720"/>
    <w:rsid w:val="00C83457"/>
    <w:rsid w:val="00C84E2C"/>
    <w:rsid w:val="00CB1B39"/>
    <w:rsid w:val="00CE1346"/>
    <w:rsid w:val="00CE75D5"/>
    <w:rsid w:val="00D0263A"/>
    <w:rsid w:val="00D44FFC"/>
    <w:rsid w:val="00D81F2A"/>
    <w:rsid w:val="00D857EE"/>
    <w:rsid w:val="00DC3491"/>
    <w:rsid w:val="00E0434E"/>
    <w:rsid w:val="00E210F9"/>
    <w:rsid w:val="00E22198"/>
    <w:rsid w:val="00E672D6"/>
    <w:rsid w:val="00EE770A"/>
    <w:rsid w:val="00EE7C1E"/>
    <w:rsid w:val="00EF24FA"/>
    <w:rsid w:val="00F16773"/>
    <w:rsid w:val="00F35EA3"/>
    <w:rsid w:val="00F614FF"/>
    <w:rsid w:val="00F72669"/>
    <w:rsid w:val="00F9098C"/>
    <w:rsid w:val="00FA7620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843E"/>
  <w15:chartTrackingRefBased/>
  <w15:docId w15:val="{B81E3B24-F06F-442B-918D-3863B56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11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7B"/>
  </w:style>
  <w:style w:type="paragraph" w:styleId="Footer">
    <w:name w:val="footer"/>
    <w:basedOn w:val="Normal"/>
    <w:link w:val="FooterChar"/>
    <w:uiPriority w:val="99"/>
    <w:unhideWhenUsed/>
    <w:rsid w:val="003F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7B"/>
  </w:style>
  <w:style w:type="paragraph" w:styleId="BalloonText">
    <w:name w:val="Balloon Text"/>
    <w:basedOn w:val="Normal"/>
    <w:link w:val="BalloonTextChar"/>
    <w:uiPriority w:val="99"/>
    <w:semiHidden/>
    <w:unhideWhenUsed/>
    <w:rsid w:val="00C7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ationCovid@justic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PPSCOVID19@justic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MPPSCOVID19@justic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PPSCOVID19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Darren</dc:creator>
  <cp:keywords/>
  <dc:description/>
  <cp:lastModifiedBy>Hughes, Darren</cp:lastModifiedBy>
  <cp:revision>7</cp:revision>
  <dcterms:created xsi:type="dcterms:W3CDTF">2022-12-01T10:32:00Z</dcterms:created>
  <dcterms:modified xsi:type="dcterms:W3CDTF">2022-12-01T10:40:00Z</dcterms:modified>
</cp:coreProperties>
</file>