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C3" w:rsidP="00D53CC3" w:rsidRDefault="00A2436C" w14:paraId="1A227BCD" w14:textId="1A9612B5">
      <w:pPr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 xml:space="preserve">Stage </w:t>
      </w:r>
      <w:r w:rsidR="008E624E">
        <w:rPr>
          <w:rFonts w:ascii="Arial" w:hAnsi="Arial" w:cs="Arial"/>
          <w:b/>
          <w:color w:val="7030A0"/>
          <w:sz w:val="44"/>
          <w:szCs w:val="44"/>
        </w:rPr>
        <w:t>1</w:t>
      </w:r>
      <w:r w:rsidR="00D53CC3">
        <w:rPr>
          <w:rFonts w:ascii="Arial" w:hAnsi="Arial" w:cs="Arial"/>
          <w:b/>
          <w:color w:val="7030A0"/>
          <w:sz w:val="44"/>
          <w:szCs w:val="44"/>
        </w:rPr>
        <w:t xml:space="preserve"> Readiness Assessment</w:t>
      </w:r>
    </w:p>
    <w:p w:rsidRPr="00E8567D" w:rsidR="00E8567D" w:rsidP="00D53CC3" w:rsidRDefault="00E8567D" w14:paraId="37F429DC" w14:textId="77777777">
      <w:pPr>
        <w:rPr>
          <w:rFonts w:ascii="Arial" w:hAnsi="Arial" w:cs="Arial"/>
          <w:b/>
          <w:color w:val="7030A0"/>
          <w:sz w:val="36"/>
          <w:szCs w:val="36"/>
        </w:rPr>
      </w:pPr>
      <w:proofErr w:type="spellStart"/>
      <w:proofErr w:type="gramStart"/>
      <w:r w:rsidRPr="00E8567D">
        <w:rPr>
          <w:rFonts w:ascii="Arial" w:hAnsi="Arial" w:cs="Arial"/>
          <w:b/>
          <w:color w:val="7030A0"/>
          <w:sz w:val="36"/>
          <w:szCs w:val="36"/>
        </w:rPr>
        <w:t>Prison:_</w:t>
      </w:r>
      <w:proofErr w:type="gramEnd"/>
      <w:r w:rsidRPr="00E8567D">
        <w:rPr>
          <w:rFonts w:ascii="Arial" w:hAnsi="Arial" w:cs="Arial"/>
          <w:b/>
          <w:color w:val="44546A" w:themeColor="text2"/>
          <w:sz w:val="36"/>
          <w:szCs w:val="36"/>
        </w:rPr>
        <w:t>HMP</w:t>
      </w:r>
      <w:proofErr w:type="spellEnd"/>
      <w:r w:rsidRPr="00E8567D">
        <w:rPr>
          <w:rFonts w:ascii="Arial" w:hAnsi="Arial" w:cs="Arial"/>
          <w:b/>
          <w:color w:val="44546A" w:themeColor="text2"/>
          <w:sz w:val="36"/>
          <w:szCs w:val="36"/>
        </w:rPr>
        <w:t xml:space="preserve"> XXXXXXXXXX</w:t>
      </w:r>
      <w:r w:rsidRPr="00E8567D">
        <w:rPr>
          <w:rFonts w:ascii="Arial" w:hAnsi="Arial" w:cs="Arial"/>
          <w:b/>
          <w:color w:val="7030A0"/>
          <w:sz w:val="36"/>
          <w:szCs w:val="36"/>
        </w:rPr>
        <w:t xml:space="preserve">________ </w:t>
      </w:r>
    </w:p>
    <w:p w:rsidR="00D53CC3" w:rsidP="00D53CC3" w:rsidRDefault="00106BE2" w14:paraId="2CF6B437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– PGD Checklist and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D53CC3" w:rsidTr="3F92879F" w14:paraId="4C5D7E84" w14:textId="77777777">
        <w:tc>
          <w:tcPr>
            <w:tcW w:w="8926" w:type="dxa"/>
            <w:shd w:val="clear" w:color="auto" w:fill="7030A0"/>
            <w:tcMar/>
          </w:tcPr>
          <w:p w:rsidRPr="004C0A7B" w:rsidR="00D53CC3" w:rsidP="00C47E8A" w:rsidRDefault="00D53CC3" w14:paraId="0F6C6CE9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0A7B">
              <w:rPr>
                <w:rFonts w:ascii="Arial" w:hAnsi="Arial" w:cs="Arial"/>
                <w:b/>
                <w:color w:val="FFFFFF" w:themeColor="background1"/>
              </w:rPr>
              <w:t>Requirement</w:t>
            </w:r>
          </w:p>
        </w:tc>
        <w:tc>
          <w:tcPr>
            <w:tcW w:w="985" w:type="dxa"/>
            <w:shd w:val="clear" w:color="auto" w:fill="7030A0"/>
            <w:tcMar/>
          </w:tcPr>
          <w:p w:rsidRPr="004F5C9C" w:rsidR="00D53CC3" w:rsidP="00C47E8A" w:rsidRDefault="00D53CC3" w14:paraId="4D9AF2B2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</w:tr>
      <w:tr w:rsidR="00F4614B" w:rsidTr="3F92879F" w14:paraId="49EF78B6" w14:textId="77777777">
        <w:trPr>
          <w:trHeight w:val="341"/>
        </w:trPr>
        <w:tc>
          <w:tcPr>
            <w:tcW w:w="9911" w:type="dxa"/>
            <w:gridSpan w:val="2"/>
            <w:shd w:val="clear" w:color="auto" w:fill="D6BBEB"/>
            <w:tcMar/>
          </w:tcPr>
          <w:p w:rsidRPr="00496AD8" w:rsidR="00F4614B" w:rsidP="00A84898" w:rsidRDefault="00F4614B" w14:paraId="39CB5E5A" w14:textId="77777777">
            <w:pPr>
              <w:tabs>
                <w:tab w:val="left" w:pos="3645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496AD8">
              <w:rPr>
                <w:rFonts w:ascii="Arial" w:hAnsi="Arial" w:cs="Arial"/>
                <w:b/>
              </w:rPr>
              <w:t>Establishment Information</w:t>
            </w:r>
            <w:r w:rsidRPr="00496AD8" w:rsidR="00A84898">
              <w:rPr>
                <w:rFonts w:ascii="Arial" w:hAnsi="Arial" w:cs="Arial"/>
                <w:b/>
              </w:rPr>
              <w:tab/>
            </w:r>
          </w:p>
        </w:tc>
      </w:tr>
      <w:tr w:rsidR="007C024D" w:rsidTr="3F92879F" w14:paraId="49DCB7F0" w14:textId="77777777">
        <w:tc>
          <w:tcPr>
            <w:tcW w:w="8926" w:type="dxa"/>
            <w:tcMar/>
          </w:tcPr>
          <w:p w:rsidRPr="004C0A7B" w:rsidR="007C024D" w:rsidP="006776B2" w:rsidRDefault="007C024D" w14:paraId="02F6CC0B" w14:textId="77777777">
            <w:pPr>
              <w:rPr>
                <w:rFonts w:ascii="Arial" w:hAnsi="Arial" w:cs="Arial"/>
              </w:rPr>
            </w:pPr>
            <w:r w:rsidRPr="004C0A7B">
              <w:rPr>
                <w:rFonts w:ascii="Arial" w:hAnsi="Arial" w:cs="Arial"/>
              </w:rPr>
              <w:t>Does the Heat Map rate your establishment as Green or Amber?</w:t>
            </w:r>
          </w:p>
        </w:tc>
        <w:tc>
          <w:tcPr>
            <w:tcW w:w="985" w:type="dxa"/>
            <w:tcMar/>
          </w:tcPr>
          <w:p w:rsidR="007C024D" w:rsidP="006776B2" w:rsidRDefault="001D0233" w14:paraId="50FE6104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6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9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E97F89" w:rsidTr="3F92879F" w14:paraId="79BD2D2C" w14:textId="77777777">
        <w:trPr>
          <w:trHeight w:val="1896"/>
        </w:trPr>
        <w:tc>
          <w:tcPr>
            <w:tcW w:w="8926" w:type="dxa"/>
            <w:tcMar/>
          </w:tcPr>
          <w:p w:rsidR="00E97F89" w:rsidP="3F92879F" w:rsidRDefault="00E97F89" w14:paraId="34B7FFE8" w14:textId="43CA3656">
            <w:pPr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3F92879F" w:rsidR="00E97F89">
              <w:rPr>
                <w:rFonts w:ascii="Arial" w:hAnsi="Arial" w:cs="Arial"/>
              </w:rPr>
              <w:t>Has your establishment either a) not had an outbreak of Covid19</w:t>
            </w:r>
            <w:r w:rsidRPr="3F92879F" w:rsidR="3A1F570F">
              <w:rPr>
                <w:rFonts w:ascii="Arial" w:hAnsi="Arial" w:cs="Arial"/>
              </w:rPr>
              <w:t xml:space="preserve">, </w:t>
            </w:r>
            <w:r w:rsidRPr="3F92879F" w:rsidR="00E97F89">
              <w:rPr>
                <w:rFonts w:ascii="Arial" w:hAnsi="Arial" w:cs="Arial"/>
              </w:rPr>
              <w:t>b) had an outbreak of Covid-19 but the outbreak has been declared over by the OCT or OCT chair?</w:t>
            </w:r>
            <w:r w:rsidRPr="3F92879F" w:rsidR="3A1F570F">
              <w:rPr>
                <w:rFonts w:ascii="Arial" w:hAnsi="Arial" w:cs="Arial"/>
              </w:rPr>
              <w:t xml:space="preserve"> c) had an outbreak declared (that is still open) but been</w:t>
            </w:r>
            <w:r w:rsidRPr="3F92879F" w:rsidR="5AEB99A8">
              <w:rPr>
                <w:rFonts w:ascii="Arial" w:hAnsi="Arial" w:cs="Arial"/>
              </w:rPr>
              <w:t xml:space="preserve"> given support to progress by the OCT which has been communicated to the heatmap panel</w:t>
            </w:r>
            <w:r w:rsidRPr="3F92879F" w:rsidR="38074E19">
              <w:rPr>
                <w:rFonts w:ascii="Arial" w:hAnsi="Arial" w:cs="Arial"/>
              </w:rPr>
              <w:t>?</w:t>
            </w:r>
            <w:proofErr w:type="gramStart"/>
            <w:proofErr w:type="gramEnd"/>
          </w:p>
          <w:p w:rsidRPr="00E97F89" w:rsidR="00E97F89" w:rsidP="006776B2" w:rsidRDefault="00E97F89" w14:paraId="11E1362F" w14:textId="77777777">
            <w:pPr>
              <w:rPr>
                <w:rFonts w:ascii="Arial" w:hAnsi="Arial" w:cs="Arial"/>
              </w:rPr>
            </w:pPr>
            <w:r w:rsidRPr="6A8781F3">
              <w:rPr>
                <w:rFonts w:ascii="Arial" w:hAnsi="Arial" w:cs="Arial"/>
              </w:rPr>
              <w:t xml:space="preserve">Date Most Recent Outbreak declared closed: </w:t>
            </w:r>
          </w:p>
        </w:tc>
        <w:tc>
          <w:tcPr>
            <w:tcW w:w="985" w:type="dxa"/>
            <w:tcMar/>
          </w:tcPr>
          <w:p w:rsidR="00E97F89" w:rsidP="006776B2" w:rsidRDefault="001D0233" w14:paraId="07E866D2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83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9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006611" w:rsidTr="3F92879F" w14:paraId="6C287960" w14:textId="77777777">
        <w:trPr>
          <w:trHeight w:val="1896"/>
        </w:trPr>
        <w:tc>
          <w:tcPr>
            <w:tcW w:w="8926" w:type="dxa"/>
            <w:tcMar/>
          </w:tcPr>
          <w:p w:rsidRPr="00006611" w:rsidR="00006611" w:rsidP="13FDF41C" w:rsidRDefault="00006611" w14:paraId="67C54485" w14:textId="160B60F6">
            <w:pPr>
              <w:rPr>
                <w:rFonts w:ascii="Arial" w:hAnsi="Arial" w:cs="Arial"/>
              </w:rPr>
            </w:pPr>
            <w:r w:rsidRPr="3F92879F" w:rsidR="00006611">
              <w:rPr>
                <w:rFonts w:ascii="Arial" w:hAnsi="Arial" w:cs="Arial"/>
              </w:rPr>
              <w:t>Has the establishment either completed a new or reviewed a previously agreed:</w:t>
            </w:r>
          </w:p>
          <w:p w:rsidR="00006611" w:rsidP="3F92879F" w:rsidRDefault="00006611" w14:paraId="15E28AD8" w14:textId="0B8156E3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3F92879F" w:rsidR="00006611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Stage 1 Regime Summary</w:t>
            </w:r>
          </w:p>
          <w:p w:rsidR="00006611" w:rsidP="3F92879F" w:rsidRDefault="00006611" w14:paraId="1E36CE22" w14:textId="1B467F70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3F92879F" w:rsidR="00006611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Regime Management Plan</w:t>
            </w:r>
          </w:p>
          <w:p w:rsidRPr="6A8781F3" w:rsidR="00006611" w:rsidP="3F92879F" w:rsidRDefault="00006611" w14:paraId="1E932204" w14:textId="21A63670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3F92879F" w:rsidR="2B2E5FE6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Local Equalities Assessment</w:t>
            </w:r>
          </w:p>
        </w:tc>
        <w:tc>
          <w:tcPr>
            <w:tcW w:w="985" w:type="dxa"/>
            <w:tcMar/>
          </w:tcPr>
          <w:p w:rsidR="00006611" w:rsidP="006776B2" w:rsidRDefault="00006611" w14:paraId="2DAE3098" w14:textId="77777777">
            <w:pPr>
              <w:jc w:val="center"/>
              <w:rPr>
                <w:rFonts w:ascii="Arial" w:hAnsi="Arial" w:cs="Arial"/>
              </w:rPr>
            </w:pPr>
          </w:p>
          <w:p w:rsidR="00006611" w:rsidP="00006611" w:rsidRDefault="001D0233" w14:paraId="607E8AC5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9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1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  <w:p w:rsidR="00006611" w:rsidP="00006611" w:rsidRDefault="001D0233" w14:paraId="719E988C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56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1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  <w:p w:rsidR="00006611" w:rsidP="00006611" w:rsidRDefault="001D0233" w14:paraId="0D8CC32E" w14:textId="6C4F20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0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1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215E29" w:rsidTr="3F92879F" w14:paraId="5691DDB1" w14:textId="77777777">
        <w:tc>
          <w:tcPr>
            <w:tcW w:w="9911" w:type="dxa"/>
            <w:gridSpan w:val="2"/>
            <w:shd w:val="clear" w:color="auto" w:fill="D6BBEB"/>
            <w:tcMar/>
          </w:tcPr>
          <w:p w:rsidRPr="00496AD8" w:rsidR="00215E29" w:rsidP="000C41EE" w:rsidRDefault="00496AD8" w14:paraId="00D3C0A3" w14:textId="77777777">
            <w:pPr>
              <w:rPr>
                <w:rFonts w:ascii="Arial" w:hAnsi="Arial" w:cs="Arial"/>
                <w:b/>
              </w:rPr>
            </w:pPr>
            <w:r w:rsidRPr="00496AD8">
              <w:rPr>
                <w:rFonts w:ascii="Arial" w:hAnsi="Arial" w:cs="Arial"/>
                <w:b/>
              </w:rPr>
              <w:t>Resilience</w:t>
            </w:r>
          </w:p>
        </w:tc>
      </w:tr>
      <w:tr w:rsidR="0046270B" w:rsidTr="3F92879F" w14:paraId="7A3F2B28" w14:textId="77777777">
        <w:tc>
          <w:tcPr>
            <w:tcW w:w="8926" w:type="dxa"/>
            <w:tcMar/>
          </w:tcPr>
          <w:p w:rsidRPr="003D6EF1" w:rsidR="0046270B" w:rsidP="0046270B" w:rsidRDefault="0046270B" w14:paraId="34F2BD26" w14:textId="77777777">
            <w:pPr>
              <w:rPr>
                <w:rFonts w:ascii="Arial" w:hAnsi="Arial" w:cs="Arial"/>
                <w:highlight w:val="yellow"/>
              </w:rPr>
            </w:pPr>
            <w:r w:rsidRPr="6A8781F3">
              <w:rPr>
                <w:rFonts w:ascii="Arial" w:hAnsi="Arial" w:cs="Arial"/>
              </w:rPr>
              <w:t xml:space="preserve">Are you satisfied that, in the case </w:t>
            </w:r>
            <w:r w:rsidRPr="6A8781F3" w:rsidR="01AEF8B3">
              <w:rPr>
                <w:rFonts w:ascii="Arial" w:hAnsi="Arial" w:cs="Arial"/>
              </w:rPr>
              <w:t>required</w:t>
            </w:r>
            <w:r w:rsidRPr="6A8781F3">
              <w:rPr>
                <w:rFonts w:ascii="Arial" w:hAnsi="Arial" w:cs="Arial"/>
              </w:rPr>
              <w:t xml:space="preserve">, there is </w:t>
            </w:r>
            <w:proofErr w:type="gramStart"/>
            <w:r w:rsidRPr="6A8781F3">
              <w:rPr>
                <w:rFonts w:ascii="Arial" w:hAnsi="Arial" w:cs="Arial"/>
              </w:rPr>
              <w:t>sufficient</w:t>
            </w:r>
            <w:proofErr w:type="gramEnd"/>
            <w:r w:rsidRPr="6A8781F3">
              <w:rPr>
                <w:rFonts w:ascii="Arial" w:hAnsi="Arial" w:cs="Arial"/>
              </w:rPr>
              <w:t xml:space="preserve"> ability to reinstate restrictions in a proportionate and safe way, affecting the smallest number of people</w:t>
            </w:r>
            <w:r w:rsidRPr="6A8781F3" w:rsidR="004D4942">
              <w:rPr>
                <w:rFonts w:ascii="Arial" w:hAnsi="Arial" w:cs="Arial"/>
              </w:rPr>
              <w:t>?</w:t>
            </w:r>
          </w:p>
        </w:tc>
        <w:tc>
          <w:tcPr>
            <w:tcW w:w="985" w:type="dxa"/>
            <w:tcMar/>
          </w:tcPr>
          <w:p w:rsidR="0046270B" w:rsidP="0046270B" w:rsidRDefault="001D0233" w14:paraId="5F4F24AF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7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B6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46270B" w:rsidTr="3F92879F" w14:paraId="755A6FA1" w14:textId="77777777">
        <w:tc>
          <w:tcPr>
            <w:tcW w:w="9911" w:type="dxa"/>
            <w:gridSpan w:val="2"/>
            <w:shd w:val="clear" w:color="auto" w:fill="D6BBEB"/>
            <w:tcMar/>
          </w:tcPr>
          <w:p w:rsidRPr="00496AD8" w:rsidR="0046270B" w:rsidP="0046270B" w:rsidRDefault="00496AD8" w14:paraId="646798B6" w14:textId="77777777">
            <w:pPr>
              <w:rPr>
                <w:rFonts w:ascii="Arial" w:hAnsi="Arial" w:cs="Arial"/>
                <w:b/>
              </w:rPr>
            </w:pPr>
            <w:bookmarkStart w:name="_Hlk71226561" w:id="0"/>
            <w:r>
              <w:rPr>
                <w:rFonts w:ascii="Arial" w:hAnsi="Arial" w:cs="Arial"/>
                <w:b/>
              </w:rPr>
              <w:t>COVID Controls</w:t>
            </w:r>
          </w:p>
        </w:tc>
      </w:tr>
      <w:bookmarkEnd w:id="0"/>
      <w:tr w:rsidR="0046270B" w:rsidTr="3F92879F" w14:paraId="42D01B33" w14:textId="77777777">
        <w:tc>
          <w:tcPr>
            <w:tcW w:w="8926" w:type="dxa"/>
            <w:tcMar/>
          </w:tcPr>
          <w:p w:rsidRPr="004C0A7B" w:rsidR="0046270B" w:rsidP="0046270B" w:rsidRDefault="0046270B" w14:paraId="29797AC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satisfied that any additional cleaning requirements </w:t>
            </w:r>
            <w:r w:rsidR="00496AD8">
              <w:rPr>
                <w:rFonts w:ascii="Arial" w:hAnsi="Arial" w:cs="Arial"/>
              </w:rPr>
              <w:t xml:space="preserve">and LOPs </w:t>
            </w:r>
            <w:r>
              <w:rPr>
                <w:rFonts w:ascii="Arial" w:hAnsi="Arial" w:cs="Arial"/>
              </w:rPr>
              <w:t>arising from the transition can be adequately met as per current HMPPS guidance</w:t>
            </w:r>
            <w:r w:rsidR="004D4942">
              <w:rPr>
                <w:rFonts w:ascii="Arial" w:hAnsi="Arial" w:cs="Arial"/>
              </w:rPr>
              <w:t xml:space="preserve"> and that infection prevention control is good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85" w:type="dxa"/>
            <w:tcMar/>
          </w:tcPr>
          <w:p w:rsidRPr="0046270B" w:rsidR="0046270B" w:rsidP="0046270B" w:rsidRDefault="001D0233" w14:paraId="346932D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572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70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F22C28" w:rsidTr="3F92879F" w14:paraId="3E14F614" w14:textId="77777777">
        <w:tc>
          <w:tcPr>
            <w:tcW w:w="9911" w:type="dxa"/>
            <w:gridSpan w:val="2"/>
            <w:shd w:val="clear" w:color="auto" w:fill="D6BBEB"/>
            <w:tcMar/>
          </w:tcPr>
          <w:p w:rsidRPr="00496AD8" w:rsidR="00F22C28" w:rsidP="00F22C28" w:rsidRDefault="00F22C28" w14:paraId="4B23F904" w14:textId="77777777">
            <w:pPr>
              <w:rPr>
                <w:rFonts w:ascii="Arial" w:hAnsi="Arial" w:cs="Arial"/>
                <w:b/>
              </w:rPr>
            </w:pPr>
            <w:r w:rsidRPr="00496AD8">
              <w:rPr>
                <w:rFonts w:ascii="Arial" w:hAnsi="Arial" w:cs="Arial"/>
                <w:b/>
              </w:rPr>
              <w:t>Consultation</w:t>
            </w:r>
          </w:p>
        </w:tc>
      </w:tr>
      <w:tr w:rsidR="00C454C0" w:rsidTr="3F92879F" w14:paraId="0B6DDAEA" w14:textId="77777777">
        <w:tc>
          <w:tcPr>
            <w:tcW w:w="8926" w:type="dxa"/>
            <w:shd w:val="clear" w:color="auto" w:fill="auto"/>
            <w:tcMar/>
          </w:tcPr>
          <w:p w:rsidRPr="00006611" w:rsidR="00CD4777" w:rsidP="6A8781F3" w:rsidRDefault="00C454C0" w14:paraId="45313F1F" w14:textId="198F1661">
            <w:pPr>
              <w:rPr>
                <w:rFonts w:ascii="Arial" w:hAnsi="Arial" w:cs="Arial"/>
              </w:rPr>
            </w:pPr>
            <w:r w:rsidRPr="00006611">
              <w:rPr>
                <w:rFonts w:ascii="Arial" w:hAnsi="Arial" w:cs="Arial"/>
              </w:rPr>
              <w:t>Has the establishment</w:t>
            </w:r>
            <w:r w:rsidRPr="00006611" w:rsidR="00AB4F20">
              <w:rPr>
                <w:rFonts w:ascii="Arial" w:hAnsi="Arial" w:cs="Arial"/>
              </w:rPr>
              <w:t xml:space="preserve"> been able to</w:t>
            </w:r>
            <w:r w:rsidRPr="00006611">
              <w:rPr>
                <w:rFonts w:ascii="Arial" w:hAnsi="Arial" w:cs="Arial"/>
              </w:rPr>
              <w:t xml:space="preserve"> provide</w:t>
            </w:r>
            <w:r w:rsidRPr="00006611" w:rsidR="00386F2A">
              <w:rPr>
                <w:rFonts w:ascii="Arial" w:hAnsi="Arial" w:cs="Arial"/>
              </w:rPr>
              <w:t xml:space="preserve"> previous</w:t>
            </w:r>
            <w:r w:rsidRPr="00006611">
              <w:rPr>
                <w:rFonts w:ascii="Arial" w:hAnsi="Arial" w:cs="Arial"/>
              </w:rPr>
              <w:t xml:space="preserve"> satisfactory evidence of constructive engagement with</w:t>
            </w:r>
            <w:r w:rsidRPr="00006611" w:rsidR="00F22C28">
              <w:rPr>
                <w:rFonts w:ascii="Arial" w:hAnsi="Arial" w:cs="Arial"/>
              </w:rPr>
              <w:t xml:space="preserve"> the following</w:t>
            </w:r>
            <w:r w:rsidRPr="00006611">
              <w:rPr>
                <w:rFonts w:ascii="Arial" w:hAnsi="Arial" w:cs="Arial"/>
              </w:rPr>
              <w:t xml:space="preserve"> Recognised Trade Unions and Staff </w:t>
            </w:r>
            <w:r w:rsidRPr="00006611" w:rsidR="00496AD8">
              <w:rPr>
                <w:rFonts w:ascii="Arial" w:hAnsi="Arial" w:cs="Arial"/>
              </w:rPr>
              <w:t>Associations?</w:t>
            </w:r>
            <w:r w:rsidRPr="00006611" w:rsidR="009E21A7">
              <w:rPr>
                <w:rFonts w:ascii="Arial" w:hAnsi="Arial" w:cs="Arial"/>
              </w:rPr>
              <w:t xml:space="preserve"> If the site has previously had Stage </w:t>
            </w:r>
            <w:r w:rsidRPr="00006611" w:rsidR="00EB7D08">
              <w:rPr>
                <w:rFonts w:ascii="Arial" w:hAnsi="Arial" w:cs="Arial"/>
              </w:rPr>
              <w:t>1</w:t>
            </w:r>
            <w:r w:rsidRPr="00006611" w:rsidR="009E21A7">
              <w:rPr>
                <w:rFonts w:ascii="Arial" w:hAnsi="Arial" w:cs="Arial"/>
              </w:rPr>
              <w:t xml:space="preserve"> plans approved and is reverting to these plans following the re-opening of the gateway, has the establishment demonstrated that they have re-</w:t>
            </w:r>
            <w:r w:rsidRPr="00006611" w:rsidR="000A1FA3">
              <w:rPr>
                <w:rFonts w:ascii="Arial" w:hAnsi="Arial" w:cs="Arial"/>
              </w:rPr>
              <w:t>engaged</w:t>
            </w:r>
            <w:r w:rsidRPr="00006611" w:rsidR="009E21A7">
              <w:rPr>
                <w:rFonts w:ascii="Arial" w:hAnsi="Arial" w:cs="Arial"/>
              </w:rPr>
              <w:t xml:space="preserve"> with the </w:t>
            </w:r>
            <w:r w:rsidRPr="00006611" w:rsidR="000A1FA3">
              <w:rPr>
                <w:rFonts w:ascii="Arial" w:hAnsi="Arial" w:cs="Arial"/>
              </w:rPr>
              <w:t>Trade Unions to share plans and any updates (though full consultation not re-required)</w:t>
            </w:r>
          </w:p>
          <w:p w:rsidRPr="00CD4777" w:rsidR="00CD4777" w:rsidP="00CD4777" w:rsidRDefault="00C454C0" w14:paraId="0D4F6AA5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>POA</w:t>
            </w:r>
          </w:p>
          <w:p w:rsidRPr="00CD4777" w:rsidR="00CD4777" w:rsidP="00CD4777" w:rsidRDefault="00C454C0" w14:paraId="3ABB0260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>PGA</w:t>
            </w:r>
          </w:p>
          <w:p w:rsidRPr="00CD4777" w:rsidR="00CD4777" w:rsidP="00CD4777" w:rsidRDefault="00C454C0" w14:paraId="3356ECD3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 xml:space="preserve">NTUS ((FDA, GMB, PCS, Prospect, Unite))? </w:t>
            </w:r>
          </w:p>
          <w:p w:rsidRPr="00CD4777" w:rsidR="00C454C0" w:rsidP="00CD4777" w:rsidRDefault="00C454C0" w14:paraId="28C82D3A" w14:textId="68DF3B8F">
            <w:p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lastRenderedPageBreak/>
              <w:t>Sites</w:t>
            </w:r>
            <w:r w:rsidR="00386F2A">
              <w:rPr>
                <w:rFonts w:ascii="Arial" w:hAnsi="Arial" w:cs="Arial"/>
                <w:i/>
              </w:rPr>
              <w:t xml:space="preserve"> should have</w:t>
            </w:r>
            <w:r w:rsidRPr="00CD4777">
              <w:rPr>
                <w:rFonts w:ascii="Arial" w:hAnsi="Arial" w:cs="Arial"/>
                <w:i/>
              </w:rPr>
              <w:t xml:space="preserve"> maintain</w:t>
            </w:r>
            <w:r w:rsidR="00386F2A">
              <w:rPr>
                <w:rFonts w:ascii="Arial" w:hAnsi="Arial" w:cs="Arial"/>
                <w:i/>
              </w:rPr>
              <w:t>ed</w:t>
            </w:r>
            <w:r w:rsidRPr="00CD4777">
              <w:rPr>
                <w:rFonts w:ascii="Arial" w:hAnsi="Arial" w:cs="Arial"/>
                <w:i/>
              </w:rPr>
              <w:t xml:space="preserve"> a</w:t>
            </w:r>
            <w:r w:rsidR="00386F2A">
              <w:rPr>
                <w:rFonts w:ascii="Arial" w:hAnsi="Arial" w:cs="Arial"/>
                <w:i/>
              </w:rPr>
              <w:t xml:space="preserve"> previous</w:t>
            </w:r>
            <w:r w:rsidRPr="00CD4777">
              <w:rPr>
                <w:rFonts w:ascii="Arial" w:hAnsi="Arial" w:cs="Arial"/>
                <w:i/>
              </w:rPr>
              <w:t xml:space="preserve"> consultation log </w:t>
            </w:r>
            <w:r w:rsidR="00496AD8">
              <w:rPr>
                <w:rFonts w:ascii="Arial" w:hAnsi="Arial" w:cs="Arial"/>
                <w:i/>
              </w:rPr>
              <w:t xml:space="preserve">or record of engagement </w:t>
            </w:r>
            <w:r w:rsidR="00386F2A">
              <w:rPr>
                <w:rFonts w:ascii="Arial" w:hAnsi="Arial" w:cs="Arial"/>
                <w:i/>
              </w:rPr>
              <w:t>to be provided</w:t>
            </w:r>
            <w:r w:rsidRPr="00CD4777" w:rsidR="00F22C28">
              <w:rPr>
                <w:rFonts w:ascii="Arial" w:hAnsi="Arial" w:cs="Arial"/>
                <w:i/>
              </w:rPr>
              <w:t>.</w:t>
            </w:r>
            <w:r w:rsidR="00496AD8">
              <w:rPr>
                <w:rFonts w:ascii="Arial" w:hAnsi="Arial" w:cs="Arial"/>
                <w:i/>
              </w:rPr>
              <w:t xml:space="preserve">  </w:t>
            </w:r>
            <w:r w:rsidRPr="00CD4777" w:rsidR="00F22C28">
              <w:rPr>
                <w:rFonts w:ascii="Arial" w:hAnsi="Arial" w:cs="Arial"/>
                <w:i/>
              </w:rPr>
              <w:t xml:space="preserve">Where a local rep is not available, </w:t>
            </w:r>
            <w:r w:rsidRPr="00CD4777" w:rsidR="00CD4777">
              <w:rPr>
                <w:rFonts w:ascii="Arial" w:hAnsi="Arial" w:cs="Arial"/>
                <w:i/>
              </w:rPr>
              <w:t xml:space="preserve">engagement with national/regional reps </w:t>
            </w:r>
            <w:r w:rsidR="00C27367">
              <w:rPr>
                <w:rFonts w:ascii="Arial" w:hAnsi="Arial" w:cs="Arial"/>
                <w:i/>
              </w:rPr>
              <w:t xml:space="preserve">from </w:t>
            </w:r>
            <w:r w:rsidR="00095B59">
              <w:rPr>
                <w:rFonts w:ascii="Arial" w:hAnsi="Arial" w:cs="Arial"/>
                <w:i/>
              </w:rPr>
              <w:t xml:space="preserve">Unions </w:t>
            </w:r>
            <w:r w:rsidRPr="00CD4777" w:rsidR="00CD4777">
              <w:rPr>
                <w:rFonts w:ascii="Arial" w:hAnsi="Arial" w:cs="Arial"/>
                <w:i/>
              </w:rPr>
              <w:t xml:space="preserve">should be </w:t>
            </w:r>
            <w:r w:rsidR="00496AD8">
              <w:rPr>
                <w:rFonts w:ascii="Arial" w:hAnsi="Arial" w:cs="Arial"/>
                <w:i/>
              </w:rPr>
              <w:t>undertaken</w:t>
            </w:r>
            <w:r w:rsidR="001D0233">
              <w:rPr>
                <w:rFonts w:ascii="Arial" w:hAnsi="Arial" w:cs="Arial"/>
                <w:i/>
              </w:rPr>
              <w:t xml:space="preserve">. </w:t>
            </w:r>
            <w:bookmarkStart w:name="_GoBack" w:id="1"/>
            <w:bookmarkEnd w:id="1"/>
          </w:p>
          <w:p w:rsidRPr="00922FA3" w:rsidR="00C454C0" w:rsidP="00C454C0" w:rsidRDefault="000A1FA3" w14:paraId="227BC3FE" w14:textId="6D72B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full consultation is required (for first time Stage </w:t>
            </w:r>
            <w:r w:rsidR="000066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plan) </w:t>
            </w:r>
            <w:r w:rsidR="008C4ACC">
              <w:rPr>
                <w:rFonts w:ascii="Arial" w:hAnsi="Arial" w:cs="Arial"/>
              </w:rPr>
              <w:t xml:space="preserve">Trade Unions must be given 5 working days to respond to any engagement and sites are expected to follow up when responses are not </w:t>
            </w:r>
            <w:r w:rsidR="006E6284">
              <w:rPr>
                <w:rFonts w:ascii="Arial" w:hAnsi="Arial" w:cs="Arial"/>
              </w:rPr>
              <w:t xml:space="preserve">shared within this period to ensure meaningful engagement. </w:t>
            </w:r>
          </w:p>
        </w:tc>
        <w:tc>
          <w:tcPr>
            <w:tcW w:w="985" w:type="dxa"/>
            <w:tcMar/>
          </w:tcPr>
          <w:p w:rsidR="00CD4777" w:rsidP="00CD4777" w:rsidRDefault="00CD4777" w14:paraId="011AAA6A" w14:textId="77777777">
            <w:pPr>
              <w:jc w:val="center"/>
              <w:rPr>
                <w:rFonts w:ascii="Arial" w:hAnsi="Arial" w:cs="Arial"/>
              </w:rPr>
            </w:pPr>
          </w:p>
          <w:p w:rsidR="000A1FA3" w:rsidP="00CD4777" w:rsidRDefault="000A1FA3" w14:paraId="77084E64" w14:textId="77777777">
            <w:pPr>
              <w:jc w:val="center"/>
              <w:rPr>
                <w:rFonts w:ascii="Arial" w:hAnsi="Arial" w:cs="Arial"/>
              </w:rPr>
            </w:pPr>
          </w:p>
          <w:p w:rsidR="000A1FA3" w:rsidP="000A1FA3" w:rsidRDefault="000A1FA3" w14:paraId="14B440C7" w14:textId="77777777" w14:noSpellErr="1">
            <w:pPr>
              <w:rPr>
                <w:rFonts w:ascii="Arial" w:hAnsi="Arial" w:cs="Arial"/>
              </w:rPr>
            </w:pPr>
          </w:p>
          <w:p w:rsidR="3F92879F" w:rsidP="3F92879F" w:rsidRDefault="3F92879F" w14:paraId="31BE5760" w14:textId="3BA9B857">
            <w:pPr>
              <w:spacing w:after="60" w:afterAutospacing="off"/>
              <w:jc w:val="left"/>
              <w:rPr>
                <w:rFonts w:ascii="Arial" w:hAnsi="Arial" w:cs="Arial"/>
              </w:rPr>
            </w:pPr>
          </w:p>
          <w:p w:rsidR="00CD4777" w:rsidP="3F92879F" w:rsidRDefault="00CD4777" w14:paraId="6225C744" w14:textId="77777777">
            <w:pPr>
              <w:spacing w:after="60" w:afterAutospacing="off"/>
              <w:jc w:val="left"/>
              <w:rPr>
                <w:rFonts w:ascii="Arial" w:hAnsi="Arial" w:cs="Arial"/>
              </w:rPr>
            </w:pPr>
            <w:r w:rsidR="00CD4777">
              <w:rPr>
                <w:rFonts w:ascii="Arial" w:hAnsi="Arial" w:cs="Arial"/>
              </w:rPr>
              <w:t xml:space="preserve">a) </w:t>
            </w:r>
            <w:sdt>
              <w:sdtPr>
                <w:rPr>
                  <w:rFonts w:ascii="Arial" w:hAnsi="Arial" w:cs="Arial"/>
                </w:rPr>
                <w:id w:val="20289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Arial" w:hAnsi="Arial" w:cs="Arial"/>
                </w:rPr>
              </w:sdtEndPr>
              <w:sdtContent>
                <w:r w:rsidR="29BB984E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</w:p>
          <w:p w:rsidR="00CD4777" w:rsidP="3F92879F" w:rsidRDefault="00CD4777" w14:paraId="5E5A65A6" w14:textId="77777777" w14:noSpellErr="1">
            <w:pPr>
              <w:spacing w:after="60" w:afterAutospacing="off"/>
              <w:jc w:val="left"/>
              <w:rPr>
                <w:rFonts w:ascii="Arial" w:hAnsi="Arial" w:cs="Arial"/>
              </w:rPr>
            </w:pPr>
            <w:r w:rsidR="00CD4777">
              <w:rPr>
                <w:rFonts w:ascii="Arial" w:hAnsi="Arial" w:cs="Arial"/>
              </w:rPr>
              <w:t xml:space="preserve">b) </w:t>
            </w:r>
            <w:sdt>
              <w:sdtPr>
                <w:rPr>
                  <w:rFonts w:ascii="Arial" w:hAnsi="Arial" w:cs="Arial"/>
                </w:rPr>
                <w:id w:val="19294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Arial" w:hAnsi="Arial" w:cs="Arial"/>
                </w:rPr>
              </w:sdtEndPr>
              <w:sdtContent>
                <w:r w:rsidR="00CD4777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</w:p>
          <w:p w:rsidR="00CD4777" w:rsidP="3F92879F" w:rsidRDefault="00CD4777" w14:paraId="4CFA8B5D" w14:textId="77777777" w14:noSpellErr="1">
            <w:pPr>
              <w:spacing w:after="60" w:afterAutospacing="off"/>
              <w:jc w:val="left"/>
              <w:rPr>
                <w:rFonts w:ascii="Arial" w:hAnsi="Arial" w:cs="Arial"/>
              </w:rPr>
            </w:pPr>
            <w:r w:rsidR="00CD4777">
              <w:rPr>
                <w:rFonts w:ascii="Arial" w:hAnsi="Arial" w:cs="Arial"/>
              </w:rPr>
              <w:t xml:space="preserve">c) </w:t>
            </w:r>
            <w:sdt>
              <w:sdtPr>
                <w:rPr>
                  <w:rFonts w:ascii="Arial" w:hAnsi="Arial" w:cs="Arial"/>
                </w:rPr>
                <w:id w:val="-15061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Arial" w:hAnsi="Arial" w:cs="Arial"/>
                </w:rPr>
              </w:sdtEndPr>
              <w:sdtContent>
                <w:r w:rsidR="00CD4777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</w:p>
          <w:p w:rsidRPr="00783565" w:rsidR="00C454C0" w:rsidP="00C454C0" w:rsidRDefault="00C454C0" w14:paraId="42C1448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C454C0" w:rsidTr="3F92879F" w14:paraId="0F29AA60" w14:textId="77777777">
        <w:trPr>
          <w:trHeight w:val="1201"/>
        </w:trPr>
        <w:tc>
          <w:tcPr>
            <w:tcW w:w="8926" w:type="dxa"/>
            <w:shd w:val="clear" w:color="auto" w:fill="auto"/>
            <w:tcMar/>
          </w:tcPr>
          <w:p w:rsidR="000A1FA3" w:rsidP="3F92879F" w:rsidRDefault="00C454C0" w14:paraId="1073F284" w14:textId="77777777" w14:noSpellErr="1">
            <w:pPr>
              <w:rPr>
                <w:rFonts w:ascii="Arial" w:hAnsi="Arial" w:cs="Arial"/>
                <w:i w:val="0"/>
                <w:iCs w:val="0"/>
              </w:rPr>
            </w:pPr>
            <w:r w:rsidRPr="3F92879F" w:rsidR="00C454C0">
              <w:rPr>
                <w:rFonts w:ascii="Arial" w:hAnsi="Arial" w:cs="Arial"/>
                <w:i w:val="0"/>
                <w:iCs w:val="0"/>
              </w:rPr>
              <w:t xml:space="preserve">Has the establishment provided satisfactory evidence of engagement with </w:t>
            </w:r>
            <w:r w:rsidRPr="3F92879F" w:rsidR="00C454C0">
              <w:rPr>
                <w:rFonts w:ascii="Arial" w:hAnsi="Arial" w:cs="Arial"/>
                <w:i w:val="0"/>
                <w:iCs w:val="0"/>
              </w:rPr>
              <w:t>the</w:t>
            </w:r>
          </w:p>
          <w:p w:rsidRPr="00877DC2" w:rsidR="00496AD8" w:rsidP="6A8781F3" w:rsidRDefault="00C454C0" w14:paraId="4B2B6B93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6A8781F3">
              <w:rPr>
                <w:rFonts w:ascii="Arial" w:hAnsi="Arial" w:cs="Arial"/>
                <w:i/>
                <w:iCs/>
              </w:rPr>
              <w:t xml:space="preserve">Local Healthcare Service provider, </w:t>
            </w:r>
          </w:p>
          <w:p w:rsidRPr="00877DC2" w:rsidR="00496AD8" w:rsidP="6A8781F3" w:rsidRDefault="00496AD8" w14:paraId="5BCAB407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6A8781F3">
              <w:rPr>
                <w:rFonts w:ascii="Arial" w:hAnsi="Arial" w:cs="Arial"/>
                <w:i/>
                <w:iCs/>
              </w:rPr>
              <w:t>Regional</w:t>
            </w:r>
            <w:r w:rsidRPr="6A8781F3" w:rsidR="00C454C0">
              <w:rPr>
                <w:rFonts w:ascii="Arial" w:hAnsi="Arial" w:cs="Arial"/>
                <w:i/>
                <w:iCs/>
              </w:rPr>
              <w:t xml:space="preserve"> </w:t>
            </w:r>
            <w:r w:rsidRPr="6A8781F3">
              <w:rPr>
                <w:rFonts w:ascii="Arial" w:hAnsi="Arial" w:cs="Arial"/>
                <w:i/>
                <w:iCs/>
              </w:rPr>
              <w:t xml:space="preserve">NHSEI </w:t>
            </w:r>
            <w:r w:rsidRPr="6A8781F3" w:rsidR="00C454C0">
              <w:rPr>
                <w:rFonts w:ascii="Arial" w:hAnsi="Arial" w:cs="Arial"/>
                <w:i/>
                <w:iCs/>
              </w:rPr>
              <w:t xml:space="preserve">Health and Justice Commissioner </w:t>
            </w:r>
            <w:r w:rsidRPr="6A8781F3">
              <w:rPr>
                <w:rFonts w:ascii="Arial" w:hAnsi="Arial" w:cs="Arial"/>
                <w:i/>
                <w:iCs/>
              </w:rPr>
              <w:t>(or Local Health Board (Wales))</w:t>
            </w:r>
          </w:p>
          <w:p w:rsidR="00C454C0" w:rsidP="00877DC2" w:rsidRDefault="00496AD8" w14:paraId="0A695147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877DC2">
              <w:rPr>
                <w:rFonts w:ascii="Arial" w:hAnsi="Arial" w:cs="Arial"/>
                <w:i/>
              </w:rPr>
              <w:t xml:space="preserve">Regional </w:t>
            </w:r>
            <w:r w:rsidR="00AB4F20">
              <w:rPr>
                <w:rFonts w:ascii="Arial" w:hAnsi="Arial" w:cs="Arial"/>
                <w:i/>
              </w:rPr>
              <w:t>UKHSA</w:t>
            </w:r>
            <w:r w:rsidRPr="00877DC2">
              <w:rPr>
                <w:rFonts w:ascii="Arial" w:hAnsi="Arial" w:cs="Arial"/>
                <w:i/>
              </w:rPr>
              <w:t xml:space="preserve"> Health and Justice lead </w:t>
            </w:r>
          </w:p>
          <w:p w:rsidRPr="00877DC2" w:rsidR="000A1FA3" w:rsidP="00877DC2" w:rsidRDefault="000A1FA3" w14:paraId="055FD761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IMT/OCT chair if in active outbreak</w:t>
            </w:r>
          </w:p>
        </w:tc>
        <w:tc>
          <w:tcPr>
            <w:tcW w:w="985" w:type="dxa"/>
            <w:tcMar/>
          </w:tcPr>
          <w:p w:rsidR="00496AD8" w:rsidP="00496AD8" w:rsidRDefault="001D0233" w14:paraId="48D65BC3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7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A3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96AD8">
              <w:rPr>
                <w:rFonts w:ascii="Arial" w:hAnsi="Arial" w:cs="Arial"/>
              </w:rPr>
              <w:t xml:space="preserve"> </w:t>
            </w:r>
          </w:p>
          <w:p w:rsidR="00C454C0" w:rsidP="00496AD8" w:rsidRDefault="001D0233" w14:paraId="628B122B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9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C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  <w:p w:rsidR="00496AD8" w:rsidP="00496AD8" w:rsidRDefault="001D0233" w14:paraId="0C44DCA8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65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D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  <w:p w:rsidR="00496AD8" w:rsidP="00496AD8" w:rsidRDefault="001D0233" w14:paraId="48D1D520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A3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  <w:p w:rsidRPr="00783565" w:rsidR="000A1FA3" w:rsidP="00496AD8" w:rsidRDefault="001D0233" w14:paraId="34E9FA07" w14:textId="7777777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7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A3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="006E6B4A" w:rsidP="006E6B4A" w:rsidRDefault="006E6B4A" w14:paraId="4C79D175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2: PGD </w:t>
      </w:r>
      <w:r w:rsidR="001858A3">
        <w:rPr>
          <w:rFonts w:ascii="Arial" w:hAnsi="Arial" w:cs="Arial"/>
          <w:b/>
        </w:rPr>
        <w:t>Decision</w:t>
      </w:r>
      <w:r>
        <w:rPr>
          <w:rFonts w:ascii="Arial" w:hAnsi="Arial" w:cs="Arial"/>
          <w:b/>
        </w:rPr>
        <w:t xml:space="preserve"> </w:t>
      </w:r>
      <w:r w:rsidR="001858A3">
        <w:rPr>
          <w:rFonts w:ascii="Arial" w:hAnsi="Arial" w:cs="Arial"/>
          <w:b/>
        </w:rPr>
        <w:t>and E</w:t>
      </w:r>
      <w:r w:rsidR="0004351A">
        <w:rPr>
          <w:rFonts w:ascii="Arial" w:hAnsi="Arial" w:cs="Arial"/>
          <w:b/>
        </w:rPr>
        <w:t xml:space="preserve">xecutive </w:t>
      </w:r>
      <w:r w:rsidR="001858A3">
        <w:rPr>
          <w:rFonts w:ascii="Arial" w:hAnsi="Arial" w:cs="Arial"/>
          <w:b/>
        </w:rPr>
        <w:t>D</w:t>
      </w:r>
      <w:r w:rsidR="0004351A">
        <w:rPr>
          <w:rFonts w:ascii="Arial" w:hAnsi="Arial" w:cs="Arial"/>
          <w:b/>
        </w:rPr>
        <w:t>irector</w:t>
      </w:r>
      <w:r w:rsidR="001858A3">
        <w:rPr>
          <w:rFonts w:ascii="Arial" w:hAnsi="Arial" w:cs="Arial"/>
          <w:b/>
        </w:rPr>
        <w:t xml:space="preserve"> Sign Off</w:t>
      </w:r>
    </w:p>
    <w:p w:rsidR="001858A3" w:rsidP="00106BE2" w:rsidRDefault="001858A3" w14:paraId="78655243" w14:textId="77777777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>PGD Name:</w:t>
      </w:r>
      <w:r w:rsidRPr="00496F44">
        <w:rPr>
          <w:rFonts w:ascii="Arial" w:hAnsi="Arial" w:cs="Arial"/>
          <w:b/>
          <w:color w:val="7030A0"/>
        </w:rPr>
        <w:t xml:space="preserve"> </w:t>
      </w:r>
    </w:p>
    <w:p w:rsidRPr="00FF4EA3" w:rsidR="00106BE2" w:rsidP="00106BE2" w:rsidRDefault="00106BE2" w14:paraId="6211CF98" w14:textId="77777777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PGD </w:t>
      </w:r>
      <w:r w:rsidRPr="00FF4EA3">
        <w:rPr>
          <w:rFonts w:ascii="Arial" w:hAnsi="Arial" w:cs="Arial"/>
          <w:b/>
          <w:color w:val="7030A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06BE2" w:rsidTr="00A43955" w14:paraId="5C4FA019" w14:textId="77777777">
        <w:trPr>
          <w:trHeight w:val="1061"/>
        </w:trPr>
        <w:tc>
          <w:tcPr>
            <w:tcW w:w="9911" w:type="dxa"/>
          </w:tcPr>
          <w:p w:rsidRPr="00F17941" w:rsidR="00F17941" w:rsidP="00F17941" w:rsidRDefault="00F17941" w14:paraId="6055F2C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A43955" w:rsidP="00106BE2" w:rsidRDefault="00A43955" w14:paraId="75BDB6D2" w14:textId="77777777">
      <w:pPr>
        <w:rPr>
          <w:rFonts w:ascii="Arial" w:hAnsi="Arial" w:cs="Arial"/>
          <w:b/>
          <w:color w:val="7030A0"/>
        </w:rPr>
      </w:pPr>
    </w:p>
    <w:p w:rsidR="004C0A7B" w:rsidP="004C0A7B" w:rsidRDefault="004C0A7B" w14:paraId="0A1B8B08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5745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p w:rsidRPr="00106BE2" w:rsidR="004C0A7B" w:rsidP="004C0A7B" w:rsidRDefault="004C0A7B" w14:paraId="5DB16561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DECLINED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4216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p w:rsidR="00496F44" w:rsidP="00496F44" w:rsidRDefault="00496F44" w14:paraId="798B3245" w14:textId="77777777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 xml:space="preserve">Sign off date: </w:t>
      </w:r>
    </w:p>
    <w:p w:rsidR="00610137" w:rsidP="00610137" w:rsidRDefault="00610137" w14:paraId="6C1480D1" w14:textId="6E84C4B2">
      <w:pPr>
        <w:pBdr>
          <w:bottom w:val="single" w:color="auto" w:sz="12" w:space="1"/>
        </w:pBd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Stage </w:t>
      </w:r>
      <w:r w:rsidR="000718BF">
        <w:rPr>
          <w:rFonts w:ascii="Arial" w:hAnsi="Arial" w:cs="Arial"/>
          <w:b/>
          <w:color w:val="7030A0"/>
        </w:rPr>
        <w:t>1</w:t>
      </w:r>
      <w:r>
        <w:rPr>
          <w:rFonts w:ascii="Arial" w:hAnsi="Arial" w:cs="Arial"/>
          <w:b/>
          <w:color w:val="7030A0"/>
        </w:rPr>
        <w:t xml:space="preserve"> Commencement Date:</w:t>
      </w:r>
    </w:p>
    <w:p w:rsidRPr="004C0A7B" w:rsidR="000A1FA3" w:rsidP="00610137" w:rsidRDefault="000A1FA3" w14:paraId="699EC696" w14:textId="77777777">
      <w:pPr>
        <w:pBdr>
          <w:bottom w:val="single" w:color="auto" w:sz="12" w:space="1"/>
        </w:pBdr>
        <w:rPr>
          <w:rFonts w:ascii="Arial" w:hAnsi="Arial" w:cs="Arial"/>
          <w:b/>
          <w:color w:val="7030A0"/>
        </w:rPr>
      </w:pPr>
    </w:p>
    <w:p w:rsidR="00FF4EA3" w:rsidP="6A8781F3" w:rsidRDefault="00E8567D" w14:paraId="0B3561A8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Director Office</w:t>
      </w:r>
    </w:p>
    <w:p w:rsidR="00E8567D" w:rsidP="00D53CC3" w:rsidRDefault="00106BE2" w14:paraId="19F0127F" w14:textId="77777777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Date</w:t>
      </w:r>
      <w:r w:rsidRPr="00FF4EA3">
        <w:rPr>
          <w:rFonts w:ascii="Arial" w:hAnsi="Arial" w:cs="Arial"/>
          <w:b/>
          <w:color w:val="7030A0"/>
        </w:rPr>
        <w:t xml:space="preserve">: </w:t>
      </w:r>
    </w:p>
    <w:p w:rsidR="00E8567D" w:rsidP="00D53CC3" w:rsidRDefault="00E8567D" w14:paraId="2A0248E9" w14:textId="77777777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Comments:</w:t>
      </w:r>
    </w:p>
    <w:p w:rsidR="00E8567D" w:rsidP="00D53CC3" w:rsidRDefault="00E8567D" w14:paraId="743F5154" w14:textId="77777777">
      <w:pPr>
        <w:rPr>
          <w:rFonts w:ascii="Arial" w:hAnsi="Arial" w:cs="Arial"/>
          <w:b/>
          <w:color w:val="7030A0"/>
        </w:rPr>
      </w:pPr>
    </w:p>
    <w:p w:rsidR="00E8567D" w:rsidP="00D53CC3" w:rsidRDefault="00E8567D" w14:paraId="3C200897" w14:textId="77777777">
      <w:pPr>
        <w:pBdr>
          <w:bottom w:val="single" w:color="auto" w:sz="12" w:space="1"/>
        </w:pBdr>
        <w:rPr>
          <w:rFonts w:ascii="Arial" w:hAnsi="Arial" w:cs="Arial"/>
          <w:b/>
          <w:color w:val="7030A0"/>
        </w:rPr>
      </w:pPr>
    </w:p>
    <w:p w:rsidRPr="00E8567D" w:rsidR="00E8567D" w:rsidP="00E8567D" w:rsidRDefault="00E8567D" w14:paraId="33F6531C" w14:textId="77777777">
      <w:pPr>
        <w:rPr>
          <w:rFonts w:ascii="Arial" w:hAnsi="Arial" w:cs="Arial"/>
          <w:b/>
          <w:bCs/>
        </w:rPr>
      </w:pP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</w:r>
      <w:r w:rsidRPr="00E8567D">
        <w:rPr>
          <w:rFonts w:ascii="Arial" w:hAnsi="Arial" w:cs="Arial"/>
          <w:b/>
        </w:rPr>
        <w:softHyphen/>
        <w:t xml:space="preserve">SECTION </w:t>
      </w:r>
      <w:r>
        <w:rPr>
          <w:rFonts w:ascii="Arial" w:hAnsi="Arial" w:cs="Arial"/>
          <w:b/>
        </w:rPr>
        <w:t>3</w:t>
      </w:r>
      <w:r w:rsidRPr="00E8567D">
        <w:rPr>
          <w:rFonts w:ascii="Arial" w:hAnsi="Arial" w:cs="Arial"/>
          <w:b/>
        </w:rPr>
        <w:t xml:space="preserve">: </w:t>
      </w:r>
      <w:r w:rsidRPr="00E8567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xecutive Director Office</w:t>
      </w:r>
      <w:r w:rsidRPr="00E8567D">
        <w:rPr>
          <w:rFonts w:ascii="Arial" w:hAnsi="Arial" w:cs="Arial"/>
          <w:b/>
          <w:bCs/>
        </w:rPr>
        <w:t xml:space="preserve"> to Forward to Gold Command (For Notification and Record Keeping Purposes)</w:t>
      </w:r>
    </w:p>
    <w:p w:rsidRPr="00106BE2" w:rsidR="00E8567D" w:rsidP="00D53CC3" w:rsidRDefault="00E8567D" w14:paraId="0BDF333D" w14:textId="77777777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Date:</w:t>
      </w:r>
    </w:p>
    <w:sectPr w:rsidRPr="00106BE2" w:rsidR="00E8567D" w:rsidSect="00496AD8">
      <w:pgSz w:w="11906" w:h="16838" w:orient="portrait"/>
      <w:pgMar w:top="1440" w:right="851" w:bottom="1276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3AE2AB" w16cex:dateUtc="2022-02-02T08:54:32.841Z"/>
  <w16cex:commentExtensible w16cex:durableId="385F19FD" w16cex:dateUtc="2022-02-02T08:55:35.264Z"/>
  <w16cex:commentExtensible w16cex:durableId="2A4D6202" w16cex:dateUtc="2022-02-02T08:56:26.055Z"/>
  <w16cex:commentExtensible w16cex:durableId="28AF1188" w16cex:dateUtc="2022-02-02T08:59:05.896Z"/>
  <w16cex:commentExtensible w16cex:durableId="13355115" w16cex:dateUtc="2022-02-02T08:59:21.519Z"/>
  <w16cex:commentExtensible w16cex:durableId="654D1A0A" w16cex:dateUtc="2022-02-02T09:00:04.248Z"/>
  <w16cex:commentExtensible w16cex:durableId="334B4A4D" w16cex:dateUtc="2022-02-02T09:00:27.92Z"/>
  <w16cex:commentExtensible w16cex:durableId="11905017" w16cex:dateUtc="2022-02-02T09:01:32.095Z"/>
  <w16cex:commentExtensible w16cex:durableId="4498A951" w16cex:dateUtc="2022-02-02T09:02:09.18Z"/>
  <w16cex:commentExtensible w16cex:durableId="40655731" w16cex:dateUtc="2022-02-02T09:02:42.83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EBA"/>
    <w:multiLevelType w:val="hybridMultilevel"/>
    <w:tmpl w:val="83387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7B0"/>
    <w:multiLevelType w:val="hybridMultilevel"/>
    <w:tmpl w:val="779CFBDC"/>
    <w:lvl w:ilvl="0" w:tplc="08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2" w15:restartNumberingAfterBreak="0">
    <w:nsid w:val="109B400A"/>
    <w:multiLevelType w:val="hybridMultilevel"/>
    <w:tmpl w:val="6B96B8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CD3"/>
    <w:multiLevelType w:val="hybridMultilevel"/>
    <w:tmpl w:val="4232EB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305741"/>
    <w:multiLevelType w:val="hybridMultilevel"/>
    <w:tmpl w:val="3B0E18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CAD4919"/>
    <w:multiLevelType w:val="hybridMultilevel"/>
    <w:tmpl w:val="0DD64B5A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DCA7C64"/>
    <w:multiLevelType w:val="hybridMultilevel"/>
    <w:tmpl w:val="A496AA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AF1"/>
    <w:multiLevelType w:val="hybridMultilevel"/>
    <w:tmpl w:val="48460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23719"/>
    <w:multiLevelType w:val="hybridMultilevel"/>
    <w:tmpl w:val="002C17E2"/>
    <w:lvl w:ilvl="0" w:tplc="0809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9" w15:restartNumberingAfterBreak="0">
    <w:nsid w:val="39A650A6"/>
    <w:multiLevelType w:val="hybridMultilevel"/>
    <w:tmpl w:val="21E473D6"/>
    <w:lvl w:ilvl="0" w:tplc="8E12D2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4EA8"/>
    <w:multiLevelType w:val="hybridMultilevel"/>
    <w:tmpl w:val="83387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14585"/>
    <w:multiLevelType w:val="hybridMultilevel"/>
    <w:tmpl w:val="8E2CA7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F0358D"/>
    <w:multiLevelType w:val="hybridMultilevel"/>
    <w:tmpl w:val="38C085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C3"/>
    <w:rsid w:val="00006611"/>
    <w:rsid w:val="00027B7D"/>
    <w:rsid w:val="00037AC5"/>
    <w:rsid w:val="0004351A"/>
    <w:rsid w:val="0004796C"/>
    <w:rsid w:val="00050BB0"/>
    <w:rsid w:val="00065ADF"/>
    <w:rsid w:val="000718BF"/>
    <w:rsid w:val="00075FEF"/>
    <w:rsid w:val="00095B59"/>
    <w:rsid w:val="000A1ECF"/>
    <w:rsid w:val="000A1FA3"/>
    <w:rsid w:val="000C0361"/>
    <w:rsid w:val="000F1D49"/>
    <w:rsid w:val="000F7EC9"/>
    <w:rsid w:val="00106BE2"/>
    <w:rsid w:val="0013214C"/>
    <w:rsid w:val="00177E06"/>
    <w:rsid w:val="001858A3"/>
    <w:rsid w:val="001B5B2A"/>
    <w:rsid w:val="001D0233"/>
    <w:rsid w:val="001E5A48"/>
    <w:rsid w:val="002038E1"/>
    <w:rsid w:val="0020567F"/>
    <w:rsid w:val="00215E29"/>
    <w:rsid w:val="00224D66"/>
    <w:rsid w:val="00227C66"/>
    <w:rsid w:val="002534FF"/>
    <w:rsid w:val="002B72CC"/>
    <w:rsid w:val="002C50E3"/>
    <w:rsid w:val="002C5821"/>
    <w:rsid w:val="002D40A7"/>
    <w:rsid w:val="002E7CB3"/>
    <w:rsid w:val="00317383"/>
    <w:rsid w:val="00321EFE"/>
    <w:rsid w:val="00342DC9"/>
    <w:rsid w:val="00353BCB"/>
    <w:rsid w:val="00366FB7"/>
    <w:rsid w:val="00386F2A"/>
    <w:rsid w:val="003A44A0"/>
    <w:rsid w:val="003C5D64"/>
    <w:rsid w:val="003D6EF1"/>
    <w:rsid w:val="00400B89"/>
    <w:rsid w:val="00424459"/>
    <w:rsid w:val="00427F65"/>
    <w:rsid w:val="00430D94"/>
    <w:rsid w:val="004551AA"/>
    <w:rsid w:val="0046270B"/>
    <w:rsid w:val="004646B7"/>
    <w:rsid w:val="004764BA"/>
    <w:rsid w:val="00484398"/>
    <w:rsid w:val="00496AD8"/>
    <w:rsid w:val="00496F44"/>
    <w:rsid w:val="004A3BEF"/>
    <w:rsid w:val="004C0A7B"/>
    <w:rsid w:val="004C5C43"/>
    <w:rsid w:val="004D4942"/>
    <w:rsid w:val="00511A92"/>
    <w:rsid w:val="00536ACA"/>
    <w:rsid w:val="005653B8"/>
    <w:rsid w:val="00595474"/>
    <w:rsid w:val="005C6F92"/>
    <w:rsid w:val="005D2311"/>
    <w:rsid w:val="005F33CF"/>
    <w:rsid w:val="00610137"/>
    <w:rsid w:val="00616DCF"/>
    <w:rsid w:val="006178EC"/>
    <w:rsid w:val="00617F42"/>
    <w:rsid w:val="00624ED7"/>
    <w:rsid w:val="006250E3"/>
    <w:rsid w:val="00635B19"/>
    <w:rsid w:val="006469B6"/>
    <w:rsid w:val="006703D6"/>
    <w:rsid w:val="00677894"/>
    <w:rsid w:val="0068319D"/>
    <w:rsid w:val="006C205A"/>
    <w:rsid w:val="006E406B"/>
    <w:rsid w:val="006E57A3"/>
    <w:rsid w:val="006E6284"/>
    <w:rsid w:val="006E6B4A"/>
    <w:rsid w:val="006F0DD4"/>
    <w:rsid w:val="007147D9"/>
    <w:rsid w:val="00716FD5"/>
    <w:rsid w:val="007618A7"/>
    <w:rsid w:val="0076292E"/>
    <w:rsid w:val="00780844"/>
    <w:rsid w:val="00783565"/>
    <w:rsid w:val="00793791"/>
    <w:rsid w:val="007B7428"/>
    <w:rsid w:val="007C024D"/>
    <w:rsid w:val="007E65FD"/>
    <w:rsid w:val="008027A0"/>
    <w:rsid w:val="00807EC3"/>
    <w:rsid w:val="008158A3"/>
    <w:rsid w:val="00815E4D"/>
    <w:rsid w:val="008228B1"/>
    <w:rsid w:val="00877DC2"/>
    <w:rsid w:val="008A112A"/>
    <w:rsid w:val="008C4ACC"/>
    <w:rsid w:val="008D7F5C"/>
    <w:rsid w:val="008E624E"/>
    <w:rsid w:val="00911760"/>
    <w:rsid w:val="00922FA3"/>
    <w:rsid w:val="0092DB1D"/>
    <w:rsid w:val="009B402B"/>
    <w:rsid w:val="009B4B77"/>
    <w:rsid w:val="009B7564"/>
    <w:rsid w:val="009D27B3"/>
    <w:rsid w:val="009E21A7"/>
    <w:rsid w:val="009F29B4"/>
    <w:rsid w:val="00A13E65"/>
    <w:rsid w:val="00A2436C"/>
    <w:rsid w:val="00A43955"/>
    <w:rsid w:val="00A56968"/>
    <w:rsid w:val="00A64BAD"/>
    <w:rsid w:val="00A67DFD"/>
    <w:rsid w:val="00A84898"/>
    <w:rsid w:val="00AB4F20"/>
    <w:rsid w:val="00AB4FF8"/>
    <w:rsid w:val="00AD44F1"/>
    <w:rsid w:val="00AD5FDF"/>
    <w:rsid w:val="00AF387D"/>
    <w:rsid w:val="00AF3A9A"/>
    <w:rsid w:val="00B25745"/>
    <w:rsid w:val="00B41355"/>
    <w:rsid w:val="00B427B3"/>
    <w:rsid w:val="00BA7C81"/>
    <w:rsid w:val="00BB1F14"/>
    <w:rsid w:val="00BF3A99"/>
    <w:rsid w:val="00C04D6F"/>
    <w:rsid w:val="00C27367"/>
    <w:rsid w:val="00C3268B"/>
    <w:rsid w:val="00C44C9D"/>
    <w:rsid w:val="00C454C0"/>
    <w:rsid w:val="00C85C73"/>
    <w:rsid w:val="00CA7ACA"/>
    <w:rsid w:val="00CB0AD6"/>
    <w:rsid w:val="00CD4777"/>
    <w:rsid w:val="00D04E3C"/>
    <w:rsid w:val="00D145EB"/>
    <w:rsid w:val="00D1532A"/>
    <w:rsid w:val="00D16EBE"/>
    <w:rsid w:val="00D36859"/>
    <w:rsid w:val="00D53CC3"/>
    <w:rsid w:val="00D573AC"/>
    <w:rsid w:val="00D60DF4"/>
    <w:rsid w:val="00D65A6D"/>
    <w:rsid w:val="00DB426E"/>
    <w:rsid w:val="00E2118B"/>
    <w:rsid w:val="00E579D9"/>
    <w:rsid w:val="00E8567D"/>
    <w:rsid w:val="00E9462A"/>
    <w:rsid w:val="00E96FCB"/>
    <w:rsid w:val="00E97F89"/>
    <w:rsid w:val="00EA1C06"/>
    <w:rsid w:val="00EA7209"/>
    <w:rsid w:val="00EB0524"/>
    <w:rsid w:val="00EB7D08"/>
    <w:rsid w:val="00F16A1F"/>
    <w:rsid w:val="00F17941"/>
    <w:rsid w:val="00F22C28"/>
    <w:rsid w:val="00F231B1"/>
    <w:rsid w:val="00F4614B"/>
    <w:rsid w:val="00F57FB0"/>
    <w:rsid w:val="00F722A8"/>
    <w:rsid w:val="00F75309"/>
    <w:rsid w:val="00FB5B53"/>
    <w:rsid w:val="00FC1CA7"/>
    <w:rsid w:val="00FC5BFE"/>
    <w:rsid w:val="00FC6493"/>
    <w:rsid w:val="00FF4EA3"/>
    <w:rsid w:val="01AEF8B3"/>
    <w:rsid w:val="04BB41D2"/>
    <w:rsid w:val="059CC910"/>
    <w:rsid w:val="07D16BC3"/>
    <w:rsid w:val="08151F92"/>
    <w:rsid w:val="0A5744A7"/>
    <w:rsid w:val="0B7A4858"/>
    <w:rsid w:val="0BE4B4E5"/>
    <w:rsid w:val="0BF7EA6A"/>
    <w:rsid w:val="0E1CC882"/>
    <w:rsid w:val="13FDF41C"/>
    <w:rsid w:val="14D2D36B"/>
    <w:rsid w:val="190CF439"/>
    <w:rsid w:val="1E5D8BEE"/>
    <w:rsid w:val="23320424"/>
    <w:rsid w:val="23CAF7D1"/>
    <w:rsid w:val="25962611"/>
    <w:rsid w:val="28B46928"/>
    <w:rsid w:val="29BB984E"/>
    <w:rsid w:val="2B2E5FE6"/>
    <w:rsid w:val="2BC4221C"/>
    <w:rsid w:val="2EB7519A"/>
    <w:rsid w:val="38074E19"/>
    <w:rsid w:val="38DF2C60"/>
    <w:rsid w:val="3A1F570F"/>
    <w:rsid w:val="3BD61881"/>
    <w:rsid w:val="3BD9B6CE"/>
    <w:rsid w:val="3F92879F"/>
    <w:rsid w:val="42B5BADF"/>
    <w:rsid w:val="4E21BC6E"/>
    <w:rsid w:val="5869BF7A"/>
    <w:rsid w:val="5A5554DD"/>
    <w:rsid w:val="5AEB99A8"/>
    <w:rsid w:val="5B55A563"/>
    <w:rsid w:val="5BC39D3A"/>
    <w:rsid w:val="668BCA77"/>
    <w:rsid w:val="6A8781F3"/>
    <w:rsid w:val="6EF7124E"/>
    <w:rsid w:val="7121036B"/>
    <w:rsid w:val="761F3267"/>
    <w:rsid w:val="796B4F47"/>
    <w:rsid w:val="7C752499"/>
    <w:rsid w:val="7E2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0EE6"/>
  <w15:chartTrackingRefBased/>
  <w15:docId w15:val="{4F43E714-838D-418C-B466-D4B21073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CC3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C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77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6F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c5390fb48af0449e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35daa5f4bdb64c1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37bb-6b48-4736-a0a6-8f27f97de20a}"/>
      </w:docPartPr>
      <w:docPartBody>
        <w:p w14:paraId="02E843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9C116-FC21-435F-A0F2-E58FA5E02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6544D-8A10-493B-B274-1FF6B21E4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C58DE-2118-4F05-B411-DA3698723F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Harrison, Michael [HMPS]</dc:creator>
  <keywords/>
  <dc:description/>
  <lastModifiedBy>Harcourt, Maria</lastModifiedBy>
  <revision>13</revision>
  <dcterms:created xsi:type="dcterms:W3CDTF">2022-03-07T10:47:00.0000000Z</dcterms:created>
  <dcterms:modified xsi:type="dcterms:W3CDTF">2022-03-08T10:49:33.8202178Z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