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C2A3" w14:textId="7FAC27E9" w:rsidR="006723F6" w:rsidRPr="003E0824" w:rsidRDefault="006723F6" w:rsidP="00EA1311">
      <w:pPr>
        <w:spacing w:after="0" w:line="240" w:lineRule="auto"/>
        <w:jc w:val="both"/>
        <w:rPr>
          <w:rFonts w:ascii="Calibri" w:hAnsi="Calibri" w:cs="Times New Roman"/>
          <w:b/>
          <w:bCs/>
        </w:rPr>
      </w:pPr>
      <w:r w:rsidRPr="00FD4AB9">
        <w:rPr>
          <w:rFonts w:ascii="Calibri" w:hAnsi="Calibri" w:cs="Times New Roman"/>
          <w:b/>
          <w:bCs/>
          <w:sz w:val="24"/>
          <w:szCs w:val="24"/>
        </w:rPr>
        <w:t xml:space="preserve">Gold Brief- Regime Progression </w:t>
      </w:r>
      <w:r w:rsidR="007A4370" w:rsidRPr="00FD4AB9">
        <w:rPr>
          <w:rFonts w:ascii="Calibri" w:hAnsi="Calibri" w:cs="Times New Roman"/>
          <w:b/>
          <w:bCs/>
          <w:sz w:val="24"/>
          <w:szCs w:val="24"/>
        </w:rPr>
        <w:t>to Stage 2</w:t>
      </w:r>
      <w:r w:rsidR="00EA1311" w:rsidRPr="00FD4AB9">
        <w:rPr>
          <w:rFonts w:ascii="Calibri" w:hAnsi="Calibri" w:cs="Times New Roman"/>
          <w:b/>
          <w:bCs/>
          <w:sz w:val="24"/>
          <w:szCs w:val="24"/>
        </w:rPr>
        <w:t xml:space="preserve"> (03.02.22)</w:t>
      </w:r>
      <w:r w:rsidR="007A4370" w:rsidRPr="00FD4AB9">
        <w:rPr>
          <w:rFonts w:ascii="Calibri" w:hAnsi="Calibri" w:cs="Times New Roman"/>
          <w:b/>
          <w:bCs/>
          <w:sz w:val="24"/>
          <w:szCs w:val="24"/>
        </w:rPr>
        <w:t xml:space="preserve"> </w:t>
      </w:r>
    </w:p>
    <w:p w14:paraId="2A6BC6E6" w14:textId="77777777" w:rsidR="006723F6" w:rsidRPr="00F00C0F" w:rsidRDefault="006723F6" w:rsidP="00EA1311">
      <w:pPr>
        <w:spacing w:after="0" w:line="240" w:lineRule="auto"/>
        <w:jc w:val="both"/>
        <w:rPr>
          <w:rFonts w:cstheme="minorHAnsi"/>
        </w:rPr>
      </w:pPr>
    </w:p>
    <w:p w14:paraId="7BED2266" w14:textId="5D138066" w:rsidR="00D25028" w:rsidRDefault="00D25028" w:rsidP="00EA1311">
      <w:pPr>
        <w:spacing w:after="0" w:line="240" w:lineRule="auto"/>
        <w:jc w:val="both"/>
        <w:rPr>
          <w:rFonts w:ascii="Calibri" w:hAnsi="Calibri" w:cs="Arial"/>
        </w:rPr>
      </w:pPr>
      <w:r w:rsidRPr="00D25028">
        <w:rPr>
          <w:rFonts w:ascii="Calibri" w:hAnsi="Calibri" w:cs="Arial"/>
          <w:b/>
          <w:bCs/>
        </w:rPr>
        <w:t>Purpose</w:t>
      </w:r>
    </w:p>
    <w:p w14:paraId="70A01A7A" w14:textId="1415E67C" w:rsidR="00D25028" w:rsidRDefault="00D25028" w:rsidP="00EA1311">
      <w:pPr>
        <w:spacing w:after="0" w:line="240" w:lineRule="auto"/>
        <w:jc w:val="both"/>
        <w:rPr>
          <w:rFonts w:ascii="Calibri" w:hAnsi="Calibri" w:cs="Arial"/>
        </w:rPr>
      </w:pPr>
    </w:p>
    <w:p w14:paraId="6DFA6AA2" w14:textId="716AC8BE" w:rsidR="27E68CF0" w:rsidRDefault="27E68CF0" w:rsidP="00EA1311">
      <w:pPr>
        <w:spacing w:after="0" w:line="240" w:lineRule="auto"/>
        <w:jc w:val="both"/>
        <w:rPr>
          <w:rFonts w:ascii="Calibri" w:hAnsi="Calibri" w:cs="Arial"/>
        </w:rPr>
      </w:pPr>
      <w:r w:rsidRPr="0124CF2A">
        <w:rPr>
          <w:rFonts w:ascii="Calibri" w:hAnsi="Calibri" w:cs="Arial"/>
        </w:rPr>
        <w:t xml:space="preserve">On </w:t>
      </w:r>
      <w:r w:rsidR="3F9BA47C" w:rsidRPr="0124CF2A">
        <w:rPr>
          <w:rFonts w:ascii="Calibri" w:hAnsi="Calibri" w:cs="Arial"/>
        </w:rPr>
        <w:t>20</w:t>
      </w:r>
      <w:r w:rsidR="57A967A6" w:rsidRPr="0124CF2A">
        <w:rPr>
          <w:rFonts w:ascii="Calibri" w:hAnsi="Calibri" w:cs="Arial"/>
          <w:vertAlign w:val="superscript"/>
        </w:rPr>
        <w:t>th</w:t>
      </w:r>
      <w:r w:rsidR="57A967A6" w:rsidRPr="0124CF2A">
        <w:rPr>
          <w:rFonts w:ascii="Calibri" w:hAnsi="Calibri" w:cs="Arial"/>
        </w:rPr>
        <w:t xml:space="preserve"> December 2021</w:t>
      </w:r>
      <w:r w:rsidRPr="0124CF2A">
        <w:rPr>
          <w:rFonts w:ascii="Calibri" w:hAnsi="Calibri" w:cs="Arial"/>
        </w:rPr>
        <w:t>, in response to the increased risk of COVID-19 as presented by the Omicron</w:t>
      </w:r>
      <w:r w:rsidR="457E08BE" w:rsidRPr="0124CF2A">
        <w:rPr>
          <w:rFonts w:ascii="Calibri" w:hAnsi="Calibri" w:cs="Arial"/>
        </w:rPr>
        <w:t xml:space="preserve"> variant</w:t>
      </w:r>
      <w:r w:rsidRPr="0124CF2A">
        <w:rPr>
          <w:rFonts w:ascii="Calibri" w:hAnsi="Calibri" w:cs="Arial"/>
        </w:rPr>
        <w:t>, the decision was made to temporarily revert all establishments to a baseline level of Stage 3</w:t>
      </w:r>
      <w:r w:rsidR="48343E5B" w:rsidRPr="0124CF2A">
        <w:rPr>
          <w:rFonts w:ascii="Calibri" w:hAnsi="Calibri" w:cs="Arial"/>
        </w:rPr>
        <w:t xml:space="preserve"> and to close the gateway to progression</w:t>
      </w:r>
      <w:r w:rsidR="5C8F48E8" w:rsidRPr="0124CF2A">
        <w:rPr>
          <w:rFonts w:ascii="Calibri" w:hAnsi="Calibri" w:cs="Arial"/>
        </w:rPr>
        <w:t xml:space="preserve"> except for in exceptional circumstances</w:t>
      </w:r>
      <w:r w:rsidR="48343E5B" w:rsidRPr="0124CF2A">
        <w:rPr>
          <w:rFonts w:ascii="Calibri" w:hAnsi="Calibri" w:cs="Arial"/>
        </w:rPr>
        <w:t xml:space="preserve">. </w:t>
      </w:r>
    </w:p>
    <w:p w14:paraId="65A349C4" w14:textId="22FF5ED5" w:rsidR="0124CF2A" w:rsidRDefault="0124CF2A" w:rsidP="00EA1311">
      <w:pPr>
        <w:spacing w:after="0" w:line="240" w:lineRule="auto"/>
        <w:jc w:val="both"/>
        <w:rPr>
          <w:rFonts w:ascii="Calibri" w:hAnsi="Calibri" w:cs="Arial"/>
        </w:rPr>
      </w:pPr>
    </w:p>
    <w:p w14:paraId="03BA3DAD" w14:textId="10D17B02" w:rsidR="006723F6" w:rsidRDefault="6E59135A" w:rsidP="00EA1311">
      <w:pPr>
        <w:spacing w:after="0" w:line="240" w:lineRule="auto"/>
        <w:jc w:val="both"/>
        <w:rPr>
          <w:rFonts w:ascii="Calibri" w:hAnsi="Calibri" w:cs="Arial"/>
          <w:color w:val="0B0C0C"/>
          <w:shd w:val="clear" w:color="auto" w:fill="FFFFFF"/>
        </w:rPr>
      </w:pPr>
      <w:r w:rsidRPr="00F00C0F">
        <w:rPr>
          <w:rFonts w:ascii="Calibri" w:hAnsi="Calibri" w:cs="Arial"/>
        </w:rPr>
        <w:t>The risk of Omicron has now been re-</w:t>
      </w:r>
      <w:r w:rsidR="006723F6">
        <w:rPr>
          <w:rFonts w:ascii="Calibri" w:hAnsi="Calibri" w:cs="Arial"/>
        </w:rPr>
        <w:t xml:space="preserve">assessed </w:t>
      </w:r>
      <w:r w:rsidR="63098AAD">
        <w:rPr>
          <w:rFonts w:ascii="Calibri" w:hAnsi="Calibri" w:cs="Arial"/>
        </w:rPr>
        <w:t xml:space="preserve">and as a result of the reduced disease severity and the protection provided as a result </w:t>
      </w:r>
      <w:r w:rsidR="2251318A" w:rsidRPr="0124CF2A">
        <w:rPr>
          <w:rFonts w:ascii="Calibri" w:hAnsi="Calibri" w:cs="Arial"/>
        </w:rPr>
        <w:t>of vaccination</w:t>
      </w:r>
      <w:r w:rsidR="006723F6">
        <w:rPr>
          <w:rFonts w:ascii="Calibri" w:hAnsi="Calibri" w:cs="Arial"/>
        </w:rPr>
        <w:t xml:space="preserve">, </w:t>
      </w:r>
      <w:r w:rsidR="565E732C" w:rsidRPr="0124CF2A">
        <w:rPr>
          <w:rFonts w:ascii="Calibri" w:hAnsi="Calibri" w:cs="Arial"/>
        </w:rPr>
        <w:t>Ministers have agreed that</w:t>
      </w:r>
      <w:r w:rsidR="7ADCC285">
        <w:rPr>
          <w:rFonts w:ascii="Calibri" w:hAnsi="Calibri" w:cs="Arial"/>
        </w:rPr>
        <w:t xml:space="preserve">, where local circumstances allow, </w:t>
      </w:r>
      <w:r w:rsidR="006723F6" w:rsidRPr="00F00C0F">
        <w:rPr>
          <w:rFonts w:ascii="Calibri" w:hAnsi="Calibri" w:cs="Arial"/>
        </w:rPr>
        <w:t xml:space="preserve">the timing is right to </w:t>
      </w:r>
      <w:r w:rsidR="3946F332" w:rsidRPr="00F00C0F">
        <w:rPr>
          <w:rFonts w:ascii="Calibri" w:hAnsi="Calibri" w:cs="Arial"/>
        </w:rPr>
        <w:t xml:space="preserve">allow for the progression </w:t>
      </w:r>
      <w:r w:rsidR="3F0001F4" w:rsidRPr="0124CF2A">
        <w:rPr>
          <w:rFonts w:ascii="Calibri" w:hAnsi="Calibri" w:cs="Arial"/>
        </w:rPr>
        <w:t>and</w:t>
      </w:r>
      <w:r w:rsidR="3DA4E453" w:rsidRPr="0124CF2A">
        <w:rPr>
          <w:rFonts w:ascii="Calibri" w:hAnsi="Calibri" w:cs="Arial"/>
        </w:rPr>
        <w:t xml:space="preserve"> have formally opened the Stage 2 Gateway as of</w:t>
      </w:r>
      <w:r w:rsidR="3F0001F4" w:rsidRPr="0124CF2A">
        <w:rPr>
          <w:rFonts w:ascii="Calibri" w:hAnsi="Calibri" w:cs="Arial"/>
        </w:rPr>
        <w:t xml:space="preserve"> </w:t>
      </w:r>
      <w:r w:rsidR="38EF8665" w:rsidRPr="0124CF2A">
        <w:rPr>
          <w:rFonts w:ascii="Calibri" w:hAnsi="Calibri" w:cs="Arial"/>
        </w:rPr>
        <w:t>03.02.22</w:t>
      </w:r>
      <w:r w:rsidR="006723F6" w:rsidRPr="00F00C0F">
        <w:rPr>
          <w:rFonts w:ascii="Calibri" w:hAnsi="Calibri" w:cs="Arial"/>
          <w:b/>
          <w:bCs/>
        </w:rPr>
        <w:t>.</w:t>
      </w:r>
      <w:r w:rsidR="006723F6" w:rsidRPr="00F00C0F">
        <w:rPr>
          <w:rFonts w:ascii="Calibri" w:hAnsi="Calibri" w:cs="Arial"/>
          <w:color w:val="0B0C0C"/>
          <w:shd w:val="clear" w:color="auto" w:fill="FFFFFF"/>
        </w:rPr>
        <w:t xml:space="preserve"> </w:t>
      </w:r>
      <w:r w:rsidR="006723F6">
        <w:rPr>
          <w:rFonts w:ascii="Calibri" w:hAnsi="Calibri" w:cs="Arial"/>
          <w:color w:val="0B0C0C"/>
          <w:shd w:val="clear" w:color="auto" w:fill="FFFFFF"/>
        </w:rPr>
        <w:t xml:space="preserve"> </w:t>
      </w:r>
      <w:r w:rsidR="5D1D033E">
        <w:rPr>
          <w:rFonts w:ascii="Calibri" w:hAnsi="Calibri" w:cs="Arial"/>
          <w:color w:val="0B0C0C"/>
          <w:shd w:val="clear" w:color="auto" w:fill="FFFFFF"/>
        </w:rPr>
        <w:t xml:space="preserve">At this time the Gateway to Stage 1 remains closed – any change to this decision will be clearly communicated from the centre. </w:t>
      </w:r>
    </w:p>
    <w:p w14:paraId="1ADCBA57" w14:textId="77777777" w:rsidR="006723F6" w:rsidRDefault="006723F6" w:rsidP="00EA1311">
      <w:pPr>
        <w:spacing w:after="0" w:line="240" w:lineRule="auto"/>
        <w:jc w:val="both"/>
        <w:rPr>
          <w:rFonts w:ascii="Calibri" w:hAnsi="Calibri" w:cs="Arial"/>
          <w:color w:val="0B0C0C"/>
          <w:shd w:val="clear" w:color="auto" w:fill="FFFFFF"/>
        </w:rPr>
      </w:pPr>
    </w:p>
    <w:p w14:paraId="20E560B1" w14:textId="78801579" w:rsidR="006723F6" w:rsidRDefault="7856F50D" w:rsidP="00EA1311">
      <w:pPr>
        <w:spacing w:after="0" w:line="240" w:lineRule="auto"/>
        <w:jc w:val="both"/>
        <w:rPr>
          <w:rFonts w:ascii="Calibri" w:hAnsi="Calibri" w:cs="Arial"/>
        </w:rPr>
      </w:pPr>
      <w:r w:rsidRPr="0124CF2A">
        <w:rPr>
          <w:rFonts w:ascii="Calibri" w:hAnsi="Calibri" w:cs="Arial"/>
        </w:rPr>
        <w:t xml:space="preserve">As </w:t>
      </w:r>
      <w:r w:rsidR="006A546C">
        <w:rPr>
          <w:rFonts w:ascii="Calibri" w:hAnsi="Calibri" w:cs="Arial"/>
        </w:rPr>
        <w:t xml:space="preserve">the </w:t>
      </w:r>
      <w:r w:rsidR="12B70189" w:rsidRPr="0124CF2A">
        <w:rPr>
          <w:rFonts w:ascii="Calibri" w:hAnsi="Calibri" w:cs="Arial"/>
        </w:rPr>
        <w:t>ability to progress will be determined</w:t>
      </w:r>
      <w:r w:rsidR="00FF48A0">
        <w:rPr>
          <w:rFonts w:ascii="Calibri" w:hAnsi="Calibri" w:cs="Arial"/>
        </w:rPr>
        <w:t xml:space="preserve"> </w:t>
      </w:r>
      <w:r w:rsidR="006723F6" w:rsidRPr="0124CF2A">
        <w:rPr>
          <w:rFonts w:ascii="Calibri" w:hAnsi="Calibri" w:cs="Arial"/>
        </w:rPr>
        <w:t>by local circumstances</w:t>
      </w:r>
      <w:r w:rsidR="23A59CAE" w:rsidRPr="0124CF2A">
        <w:rPr>
          <w:rFonts w:ascii="Calibri" w:hAnsi="Calibri" w:cs="Arial"/>
        </w:rPr>
        <w:t xml:space="preserve"> and risk </w:t>
      </w:r>
      <w:r w:rsidR="00FF48A0" w:rsidRPr="0124CF2A">
        <w:rPr>
          <w:rFonts w:ascii="Calibri" w:hAnsi="Calibri" w:cs="Arial"/>
        </w:rPr>
        <w:t>assessments</w:t>
      </w:r>
      <w:r w:rsidR="00FF48A0">
        <w:rPr>
          <w:rFonts w:ascii="Calibri" w:hAnsi="Calibri" w:cs="Arial"/>
        </w:rPr>
        <w:t xml:space="preserve"> - </w:t>
      </w:r>
      <w:r w:rsidR="00FF48A0" w:rsidRPr="0124CF2A">
        <w:rPr>
          <w:rFonts w:ascii="Calibri" w:hAnsi="Calibri" w:cs="Arial"/>
        </w:rPr>
        <w:t>progression</w:t>
      </w:r>
      <w:r w:rsidR="006723F6" w:rsidRPr="0124CF2A">
        <w:rPr>
          <w:rFonts w:ascii="Calibri" w:hAnsi="Calibri" w:cs="Arial"/>
        </w:rPr>
        <w:t xml:space="preserve"> will not be uniform nationally. Not all </w:t>
      </w:r>
      <w:r w:rsidR="007E58B3">
        <w:rPr>
          <w:rFonts w:ascii="Calibri" w:hAnsi="Calibri" w:cs="Arial"/>
        </w:rPr>
        <w:t>establishments</w:t>
      </w:r>
      <w:r w:rsidR="006723F6" w:rsidRPr="0124CF2A">
        <w:rPr>
          <w:rFonts w:ascii="Calibri" w:hAnsi="Calibri" w:cs="Arial"/>
        </w:rPr>
        <w:t xml:space="preserve"> will </w:t>
      </w:r>
      <w:r w:rsidR="55051723" w:rsidRPr="0124CF2A">
        <w:rPr>
          <w:rFonts w:ascii="Calibri" w:hAnsi="Calibri" w:cs="Arial"/>
        </w:rPr>
        <w:t>automatically</w:t>
      </w:r>
      <w:r w:rsidR="006723F6" w:rsidRPr="0124CF2A">
        <w:rPr>
          <w:rFonts w:ascii="Calibri" w:hAnsi="Calibri" w:cs="Arial"/>
        </w:rPr>
        <w:t xml:space="preserve"> return </w:t>
      </w:r>
      <w:r w:rsidR="5295D6AD" w:rsidRPr="0124CF2A">
        <w:rPr>
          <w:rFonts w:ascii="Calibri" w:hAnsi="Calibri" w:cs="Arial"/>
        </w:rPr>
        <w:t xml:space="preserve">to </w:t>
      </w:r>
      <w:r w:rsidR="006723F6" w:rsidRPr="0124CF2A">
        <w:rPr>
          <w:rFonts w:ascii="Calibri" w:hAnsi="Calibri" w:cs="Arial"/>
        </w:rPr>
        <w:t xml:space="preserve">Stage </w:t>
      </w:r>
      <w:r w:rsidR="044FC411" w:rsidRPr="0124CF2A">
        <w:rPr>
          <w:rFonts w:ascii="Calibri" w:hAnsi="Calibri" w:cs="Arial"/>
        </w:rPr>
        <w:t>2</w:t>
      </w:r>
      <w:r w:rsidR="006723F6" w:rsidRPr="0124CF2A">
        <w:rPr>
          <w:rFonts w:ascii="Calibri" w:hAnsi="Calibri" w:cs="Arial"/>
        </w:rPr>
        <w:t xml:space="preserve">. Progression must continue cautiously, as whilst the downward trends </w:t>
      </w:r>
      <w:r w:rsidR="198C6097" w:rsidRPr="0124CF2A">
        <w:rPr>
          <w:rFonts w:ascii="Calibri" w:hAnsi="Calibri" w:cs="Arial"/>
        </w:rPr>
        <w:t xml:space="preserve">in case numbers and staff absences </w:t>
      </w:r>
      <w:r w:rsidR="006723F6" w:rsidRPr="0124CF2A">
        <w:rPr>
          <w:rFonts w:ascii="Calibri" w:hAnsi="Calibri" w:cs="Arial"/>
        </w:rPr>
        <w:t>continue</w:t>
      </w:r>
      <w:r w:rsidR="4D14CF02" w:rsidRPr="0124CF2A">
        <w:rPr>
          <w:rFonts w:ascii="Calibri" w:hAnsi="Calibri" w:cs="Arial"/>
        </w:rPr>
        <w:t>,</w:t>
      </w:r>
      <w:r w:rsidR="006723F6" w:rsidRPr="0124CF2A">
        <w:rPr>
          <w:rFonts w:ascii="Calibri" w:hAnsi="Calibri" w:cs="Arial"/>
        </w:rPr>
        <w:t xml:space="preserve"> outbreaks are ongoing. Effective outbreak controls and engagement with OCT and public health leads to manage outbreaks will still allow regime progression. </w:t>
      </w:r>
      <w:r w:rsidR="4C06C835" w:rsidRPr="0124CF2A">
        <w:rPr>
          <w:rFonts w:ascii="Calibri" w:hAnsi="Calibri" w:cs="Arial"/>
        </w:rPr>
        <w:t xml:space="preserve"> Outbreaks which are awaiting formal closure will not automatically prevent </w:t>
      </w:r>
      <w:r w:rsidR="6F71BB97" w:rsidRPr="0124CF2A">
        <w:rPr>
          <w:rFonts w:ascii="Calibri" w:hAnsi="Calibri" w:cs="Arial"/>
        </w:rPr>
        <w:t xml:space="preserve">regime </w:t>
      </w:r>
      <w:r w:rsidR="4C06C835" w:rsidRPr="0124CF2A">
        <w:rPr>
          <w:rFonts w:ascii="Calibri" w:hAnsi="Calibri" w:cs="Arial"/>
        </w:rPr>
        <w:t>progression</w:t>
      </w:r>
      <w:r w:rsidR="6CE380BA" w:rsidRPr="0124CF2A">
        <w:rPr>
          <w:rFonts w:ascii="Calibri" w:hAnsi="Calibri" w:cs="Arial"/>
        </w:rPr>
        <w:t>, but advice from Public Health partners and OCTs remains critical.</w:t>
      </w:r>
      <w:r w:rsidR="31EEFC50" w:rsidRPr="0124CF2A">
        <w:rPr>
          <w:rFonts w:ascii="Calibri" w:hAnsi="Calibri" w:cs="Arial"/>
        </w:rPr>
        <w:t xml:space="preserve"> Continued implementation of infection prevention and control measures, including compliance with testing arra</w:t>
      </w:r>
      <w:r w:rsidR="767645C3" w:rsidRPr="0124CF2A">
        <w:rPr>
          <w:rFonts w:ascii="Calibri" w:hAnsi="Calibri" w:cs="Arial"/>
        </w:rPr>
        <w:t>n</w:t>
      </w:r>
      <w:r w:rsidR="31EEFC50" w:rsidRPr="0124CF2A">
        <w:rPr>
          <w:rFonts w:ascii="Calibri" w:hAnsi="Calibri" w:cs="Arial"/>
        </w:rPr>
        <w:t>gements</w:t>
      </w:r>
      <w:r w:rsidR="351B2AF5" w:rsidRPr="0124CF2A">
        <w:rPr>
          <w:rFonts w:ascii="Calibri" w:hAnsi="Calibri" w:cs="Arial"/>
        </w:rPr>
        <w:t>, remains paramount.</w:t>
      </w:r>
    </w:p>
    <w:p w14:paraId="1ABB2BE9" w14:textId="77777777" w:rsidR="006723F6" w:rsidRPr="00F00C0F" w:rsidRDefault="006723F6" w:rsidP="00EA1311">
      <w:pPr>
        <w:spacing w:after="0" w:line="240" w:lineRule="auto"/>
        <w:jc w:val="both"/>
        <w:rPr>
          <w:rFonts w:cstheme="minorHAnsi"/>
        </w:rPr>
      </w:pPr>
    </w:p>
    <w:p w14:paraId="199059AC" w14:textId="18B5923A" w:rsidR="006723F6" w:rsidRPr="008C5A99" w:rsidRDefault="006723F6" w:rsidP="00EA1311">
      <w:pPr>
        <w:spacing w:line="256" w:lineRule="auto"/>
        <w:jc w:val="both"/>
        <w:rPr>
          <w:rFonts w:cstheme="minorHAnsi"/>
        </w:rPr>
      </w:pPr>
      <w:r>
        <w:rPr>
          <w:rFonts w:cstheme="minorHAnsi"/>
        </w:rPr>
        <w:t xml:space="preserve">To support the </w:t>
      </w:r>
      <w:r w:rsidR="00C55663">
        <w:rPr>
          <w:rFonts w:cstheme="minorHAnsi"/>
        </w:rPr>
        <w:t xml:space="preserve">safe </w:t>
      </w:r>
      <w:r>
        <w:rPr>
          <w:rFonts w:cstheme="minorHAnsi"/>
        </w:rPr>
        <w:t xml:space="preserve">movement of </w:t>
      </w:r>
      <w:r w:rsidR="007E58B3">
        <w:rPr>
          <w:rFonts w:cstheme="minorHAnsi"/>
        </w:rPr>
        <w:t>establishments</w:t>
      </w:r>
      <w:r>
        <w:rPr>
          <w:rFonts w:cstheme="minorHAnsi"/>
        </w:rPr>
        <w:t xml:space="preserve"> beyond the</w:t>
      </w:r>
      <w:r w:rsidRPr="00F00C0F">
        <w:rPr>
          <w:rFonts w:cstheme="minorHAnsi"/>
        </w:rPr>
        <w:t xml:space="preserve"> current Stage 3 baseline</w:t>
      </w:r>
      <w:r w:rsidR="00C55663">
        <w:rPr>
          <w:rFonts w:cstheme="minorHAnsi"/>
        </w:rPr>
        <w:t>,</w:t>
      </w:r>
      <w:r>
        <w:rPr>
          <w:rFonts w:cstheme="minorHAnsi"/>
        </w:rPr>
        <w:t xml:space="preserve"> </w:t>
      </w:r>
      <w:r w:rsidR="00F266E0">
        <w:rPr>
          <w:rFonts w:cstheme="minorHAnsi"/>
        </w:rPr>
        <w:t xml:space="preserve">establishments </w:t>
      </w:r>
      <w:r>
        <w:rPr>
          <w:rFonts w:cstheme="minorHAnsi"/>
        </w:rPr>
        <w:t xml:space="preserve">should be aware that they can </w:t>
      </w:r>
      <w:r w:rsidR="00C71E20">
        <w:rPr>
          <w:rFonts w:cstheme="minorHAnsi"/>
        </w:rPr>
        <w:t xml:space="preserve">only </w:t>
      </w:r>
      <w:r>
        <w:rPr>
          <w:rFonts w:cstheme="minorHAnsi"/>
        </w:rPr>
        <w:t xml:space="preserve">move to Stage </w:t>
      </w:r>
      <w:r w:rsidR="00C71E20">
        <w:rPr>
          <w:rFonts w:cstheme="minorHAnsi"/>
        </w:rPr>
        <w:t>2</w:t>
      </w:r>
      <w:r>
        <w:rPr>
          <w:rFonts w:cstheme="minorHAnsi"/>
        </w:rPr>
        <w:t xml:space="preserve"> if this is viable and supported by local risk assessment</w:t>
      </w:r>
      <w:r w:rsidR="00C71E20">
        <w:rPr>
          <w:rFonts w:cstheme="minorHAnsi"/>
        </w:rPr>
        <w:t xml:space="preserve">. </w:t>
      </w:r>
      <w:r>
        <w:rPr>
          <w:rFonts w:cstheme="minorHAnsi"/>
        </w:rPr>
        <w:t>Equally</w:t>
      </w:r>
      <w:r w:rsidR="00F93797">
        <w:rPr>
          <w:rFonts w:cstheme="minorHAnsi"/>
        </w:rPr>
        <w:t>,</w:t>
      </w:r>
      <w:r>
        <w:rPr>
          <w:rFonts w:cstheme="minorHAnsi"/>
        </w:rPr>
        <w:t xml:space="preserve"> regression will still be required for some </w:t>
      </w:r>
      <w:r w:rsidR="007E58B3">
        <w:rPr>
          <w:rFonts w:cstheme="minorHAnsi"/>
        </w:rPr>
        <w:t>establishments</w:t>
      </w:r>
      <w:r>
        <w:rPr>
          <w:rFonts w:cstheme="minorHAnsi"/>
        </w:rPr>
        <w:t xml:space="preserve"> to continue to manage their regime in </w:t>
      </w:r>
      <w:r w:rsidRPr="008C5A99">
        <w:rPr>
          <w:rFonts w:cstheme="minorHAnsi"/>
        </w:rPr>
        <w:t xml:space="preserve">accordance with the risk presented. </w:t>
      </w:r>
    </w:p>
    <w:p w14:paraId="4D64305B" w14:textId="22C08B46" w:rsidR="004D2976" w:rsidRDefault="00A352E3" w:rsidP="00EA1311">
      <w:pPr>
        <w:spacing w:after="0" w:line="240" w:lineRule="auto"/>
        <w:jc w:val="both"/>
        <w:rPr>
          <w:rFonts w:ascii="Calibri" w:hAnsi="Calibri" w:cs="Times New Roman"/>
        </w:rPr>
      </w:pPr>
      <w:r w:rsidRPr="0124CF2A">
        <w:rPr>
          <w:rFonts w:ascii="Calibri" w:hAnsi="Calibri" w:cs="Times New Roman"/>
        </w:rPr>
        <w:t xml:space="preserve">Opening the gateway to Stage 2 demonstrates that </w:t>
      </w:r>
      <w:r w:rsidR="007E58B3">
        <w:rPr>
          <w:rFonts w:ascii="Calibri" w:hAnsi="Calibri" w:cs="Times New Roman"/>
        </w:rPr>
        <w:t>establishments</w:t>
      </w:r>
      <w:r w:rsidRPr="0124CF2A">
        <w:rPr>
          <w:rFonts w:ascii="Calibri" w:hAnsi="Calibri" w:cs="Times New Roman"/>
        </w:rPr>
        <w:t xml:space="preserve"> are </w:t>
      </w:r>
      <w:r w:rsidR="00C06EA7" w:rsidRPr="0124CF2A">
        <w:rPr>
          <w:rFonts w:ascii="Calibri" w:hAnsi="Calibri" w:cs="Times New Roman"/>
        </w:rPr>
        <w:t xml:space="preserve">responding to </w:t>
      </w:r>
      <w:r w:rsidRPr="0124CF2A">
        <w:rPr>
          <w:rFonts w:ascii="Calibri" w:hAnsi="Calibri" w:cs="Times New Roman"/>
        </w:rPr>
        <w:t>the</w:t>
      </w:r>
      <w:r w:rsidR="07C515FF" w:rsidRPr="0124CF2A">
        <w:rPr>
          <w:rFonts w:ascii="Calibri" w:hAnsi="Calibri" w:cs="Times New Roman"/>
        </w:rPr>
        <w:t xml:space="preserve"> </w:t>
      </w:r>
      <w:r w:rsidR="28DAB10E" w:rsidRPr="0124CF2A">
        <w:rPr>
          <w:rFonts w:ascii="Calibri" w:hAnsi="Calibri" w:cs="Times New Roman"/>
        </w:rPr>
        <w:t xml:space="preserve">easing </w:t>
      </w:r>
      <w:r w:rsidRPr="0124CF2A">
        <w:rPr>
          <w:rFonts w:ascii="Calibri" w:hAnsi="Calibri" w:cs="Times New Roman"/>
        </w:rPr>
        <w:t>of community restrictions</w:t>
      </w:r>
      <w:r w:rsidR="28DAB10E" w:rsidRPr="0124CF2A">
        <w:rPr>
          <w:rFonts w:ascii="Calibri" w:hAnsi="Calibri" w:cs="Times New Roman"/>
        </w:rPr>
        <w:t xml:space="preserve"> </w:t>
      </w:r>
      <w:r w:rsidRPr="0124CF2A">
        <w:rPr>
          <w:rFonts w:ascii="Calibri" w:hAnsi="Calibri" w:cs="Times New Roman"/>
        </w:rPr>
        <w:t>and</w:t>
      </w:r>
      <w:r w:rsidR="28DAB10E" w:rsidRPr="0124CF2A">
        <w:rPr>
          <w:rFonts w:ascii="Calibri" w:hAnsi="Calibri" w:cs="Times New Roman"/>
        </w:rPr>
        <w:t xml:space="preserve"> this</w:t>
      </w:r>
      <w:r w:rsidRPr="0124CF2A">
        <w:rPr>
          <w:rFonts w:ascii="Calibri" w:hAnsi="Calibri" w:cs="Times New Roman"/>
        </w:rPr>
        <w:t xml:space="preserve"> will be vital in supporting </w:t>
      </w:r>
      <w:r w:rsidR="5F53BF88" w:rsidRPr="0124CF2A">
        <w:rPr>
          <w:rFonts w:ascii="Calibri" w:hAnsi="Calibri" w:cs="Times New Roman"/>
        </w:rPr>
        <w:t xml:space="preserve">the </w:t>
      </w:r>
      <w:r w:rsidRPr="0124CF2A">
        <w:rPr>
          <w:rFonts w:ascii="Calibri" w:hAnsi="Calibri" w:cs="Times New Roman"/>
        </w:rPr>
        <w:t xml:space="preserve">health and wellbeing </w:t>
      </w:r>
      <w:r w:rsidR="00684EB2" w:rsidRPr="0124CF2A">
        <w:rPr>
          <w:rFonts w:ascii="Calibri" w:hAnsi="Calibri" w:cs="Times New Roman"/>
        </w:rPr>
        <w:t>of prisoners</w:t>
      </w:r>
      <w:r w:rsidR="00F26429">
        <w:rPr>
          <w:rFonts w:ascii="Calibri" w:hAnsi="Calibri" w:cs="Times New Roman"/>
        </w:rPr>
        <w:t xml:space="preserve"> and children and young people</w:t>
      </w:r>
      <w:r w:rsidRPr="0124CF2A">
        <w:rPr>
          <w:rFonts w:ascii="Calibri" w:hAnsi="Calibri" w:cs="Times New Roman"/>
        </w:rPr>
        <w:t>.</w:t>
      </w:r>
      <w:r w:rsidR="000D3094" w:rsidRPr="0124CF2A">
        <w:rPr>
          <w:rFonts w:ascii="Calibri" w:hAnsi="Calibri" w:cs="Times New Roman"/>
        </w:rPr>
        <w:t xml:space="preserve"> </w:t>
      </w:r>
      <w:r w:rsidR="0E13D72F" w:rsidRPr="0124CF2A">
        <w:rPr>
          <w:rFonts w:ascii="Calibri" w:hAnsi="Calibri" w:cs="Times New Roman"/>
        </w:rPr>
        <w:t xml:space="preserve">In order to ensure </w:t>
      </w:r>
      <w:r w:rsidR="00684EB2" w:rsidRPr="0124CF2A">
        <w:rPr>
          <w:rFonts w:ascii="Calibri" w:hAnsi="Calibri" w:cs="Times New Roman"/>
        </w:rPr>
        <w:t>people,</w:t>
      </w:r>
      <w:r w:rsidR="0E13D72F" w:rsidRPr="0124CF2A">
        <w:rPr>
          <w:rFonts w:ascii="Calibri" w:hAnsi="Calibri" w:cs="Times New Roman"/>
        </w:rPr>
        <w:t xml:space="preserve"> feel safe through</w:t>
      </w:r>
      <w:r w:rsidR="6582BF8E" w:rsidRPr="0124CF2A">
        <w:rPr>
          <w:rFonts w:ascii="Calibri" w:hAnsi="Calibri" w:cs="Times New Roman"/>
        </w:rPr>
        <w:t>out</w:t>
      </w:r>
      <w:r w:rsidR="0E13D72F" w:rsidRPr="0124CF2A">
        <w:rPr>
          <w:rFonts w:ascii="Calibri" w:hAnsi="Calibri" w:cs="Times New Roman"/>
        </w:rPr>
        <w:t xml:space="preserve"> these changes, consultation and communication will be key in allowing staff</w:t>
      </w:r>
      <w:r w:rsidR="00F26429">
        <w:rPr>
          <w:rFonts w:ascii="Calibri" w:hAnsi="Calibri" w:cs="Times New Roman"/>
        </w:rPr>
        <w:t xml:space="preserve">, </w:t>
      </w:r>
      <w:r w:rsidR="0E13D72F" w:rsidRPr="0124CF2A">
        <w:rPr>
          <w:rFonts w:ascii="Calibri" w:hAnsi="Calibri" w:cs="Times New Roman"/>
        </w:rPr>
        <w:t>prisoners</w:t>
      </w:r>
      <w:r w:rsidR="00F26429">
        <w:rPr>
          <w:rFonts w:ascii="Calibri" w:hAnsi="Calibri" w:cs="Times New Roman"/>
        </w:rPr>
        <w:t>, children and young people</w:t>
      </w:r>
      <w:r w:rsidR="0E13D72F" w:rsidRPr="0124CF2A">
        <w:rPr>
          <w:rFonts w:ascii="Calibri" w:hAnsi="Calibri" w:cs="Times New Roman"/>
        </w:rPr>
        <w:t xml:space="preserve"> to understand </w:t>
      </w:r>
      <w:r w:rsidR="24F3562D" w:rsidRPr="0124CF2A">
        <w:rPr>
          <w:rFonts w:ascii="Calibri" w:hAnsi="Calibri" w:cs="Times New Roman"/>
        </w:rPr>
        <w:t xml:space="preserve">the </w:t>
      </w:r>
      <w:r w:rsidR="0E13D72F" w:rsidRPr="0124CF2A">
        <w:rPr>
          <w:rFonts w:ascii="Calibri" w:hAnsi="Calibri" w:cs="Times New Roman"/>
        </w:rPr>
        <w:t>rationale</w:t>
      </w:r>
      <w:r w:rsidR="45230257" w:rsidRPr="0124CF2A">
        <w:rPr>
          <w:rFonts w:ascii="Calibri" w:hAnsi="Calibri" w:cs="Times New Roman"/>
        </w:rPr>
        <w:t xml:space="preserve"> and </w:t>
      </w:r>
      <w:r w:rsidR="7AA8E070" w:rsidRPr="0124CF2A">
        <w:rPr>
          <w:rFonts w:ascii="Calibri" w:hAnsi="Calibri" w:cs="Times New Roman"/>
        </w:rPr>
        <w:t>provide</w:t>
      </w:r>
      <w:r w:rsidR="59BFB9D6" w:rsidRPr="0124CF2A">
        <w:rPr>
          <w:rFonts w:ascii="Calibri" w:hAnsi="Calibri" w:cs="Times New Roman"/>
        </w:rPr>
        <w:t xml:space="preserve"> </w:t>
      </w:r>
      <w:r w:rsidR="45230257" w:rsidRPr="0124CF2A">
        <w:rPr>
          <w:rFonts w:ascii="Calibri" w:hAnsi="Calibri" w:cs="Times New Roman"/>
        </w:rPr>
        <w:t>feedback.</w:t>
      </w:r>
      <w:r w:rsidR="78EFDF03" w:rsidRPr="0124CF2A">
        <w:rPr>
          <w:rFonts w:ascii="Calibri" w:hAnsi="Calibri" w:cs="Times New Roman"/>
        </w:rPr>
        <w:t xml:space="preserve"> </w:t>
      </w:r>
    </w:p>
    <w:p w14:paraId="6FA02A95" w14:textId="77777777" w:rsidR="004D2976" w:rsidRDefault="004D2976" w:rsidP="00EA1311">
      <w:pPr>
        <w:spacing w:after="0" w:line="240" w:lineRule="auto"/>
        <w:jc w:val="both"/>
        <w:rPr>
          <w:rFonts w:ascii="Calibri" w:hAnsi="Calibri" w:cs="Times New Roman"/>
        </w:rPr>
      </w:pPr>
    </w:p>
    <w:p w14:paraId="1A4C3C41" w14:textId="6A033DCF" w:rsidR="00A352E3" w:rsidRPr="0004777A" w:rsidDel="00FE6CB4" w:rsidRDefault="000D3094" w:rsidP="00EA1311">
      <w:pPr>
        <w:spacing w:after="0" w:line="240" w:lineRule="auto"/>
        <w:jc w:val="both"/>
        <w:rPr>
          <w:rFonts w:ascii="Calibri" w:hAnsi="Calibri" w:cs="Times New Roman"/>
        </w:rPr>
      </w:pPr>
      <w:r w:rsidRPr="0124CF2A">
        <w:rPr>
          <w:rFonts w:ascii="Calibri" w:hAnsi="Calibri" w:cs="Times New Roman"/>
        </w:rPr>
        <w:t>In a Stage 2 regime, additional workshops may be able to run,</w:t>
      </w:r>
      <w:r w:rsidR="00902FDD" w:rsidRPr="0124CF2A">
        <w:rPr>
          <w:rFonts w:ascii="Calibri" w:hAnsi="Calibri" w:cs="Times New Roman"/>
        </w:rPr>
        <w:t xml:space="preserve"> groups may be able to mix as </w:t>
      </w:r>
      <w:r w:rsidR="00204106" w:rsidRPr="0124CF2A">
        <w:rPr>
          <w:rFonts w:ascii="Calibri" w:hAnsi="Calibri" w:cs="Times New Roman"/>
        </w:rPr>
        <w:t xml:space="preserve">restrictions </w:t>
      </w:r>
      <w:r w:rsidR="005811D2" w:rsidRPr="0124CF2A">
        <w:rPr>
          <w:rFonts w:ascii="Calibri" w:hAnsi="Calibri" w:cs="Times New Roman"/>
        </w:rPr>
        <w:t>relax,</w:t>
      </w:r>
      <w:r w:rsidRPr="0124CF2A">
        <w:rPr>
          <w:rFonts w:ascii="Calibri" w:hAnsi="Calibri" w:cs="Times New Roman"/>
        </w:rPr>
        <w:t xml:space="preserve"> and social visits should continue as a priority.</w:t>
      </w:r>
      <w:r w:rsidR="00A352E3" w:rsidRPr="0124CF2A">
        <w:rPr>
          <w:rFonts w:ascii="Calibri" w:hAnsi="Calibri" w:cs="Times New Roman"/>
        </w:rPr>
        <w:t xml:space="preserve"> </w:t>
      </w:r>
      <w:r w:rsidR="53A3DE12" w:rsidRPr="0124CF2A">
        <w:rPr>
          <w:rFonts w:ascii="Calibri" w:hAnsi="Calibri" w:cs="Times New Roman"/>
        </w:rPr>
        <w:t xml:space="preserve">This should be operated locally in line with the plans as set out in the establishments </w:t>
      </w:r>
      <w:r w:rsidR="00B46CE8">
        <w:rPr>
          <w:rFonts w:ascii="Calibri" w:hAnsi="Calibri" w:cs="Times New Roman"/>
        </w:rPr>
        <w:t>Stage 2 plans</w:t>
      </w:r>
      <w:r w:rsidR="53A3DE12" w:rsidRPr="0124CF2A">
        <w:rPr>
          <w:rFonts w:ascii="Calibri" w:hAnsi="Calibri" w:cs="Times New Roman"/>
        </w:rPr>
        <w:t>.</w:t>
      </w:r>
      <w:r w:rsidR="00A352E3" w:rsidRPr="0124CF2A">
        <w:rPr>
          <w:rFonts w:ascii="Calibri" w:hAnsi="Calibri" w:cs="Times New Roman"/>
        </w:rPr>
        <w:t xml:space="preserve"> Throughout this </w:t>
      </w:r>
      <w:r w:rsidR="009C6F4B" w:rsidRPr="0124CF2A">
        <w:rPr>
          <w:rFonts w:ascii="Calibri" w:hAnsi="Calibri" w:cs="Times New Roman"/>
        </w:rPr>
        <w:t xml:space="preserve">progression </w:t>
      </w:r>
      <w:r w:rsidR="00A352E3" w:rsidRPr="0124CF2A">
        <w:rPr>
          <w:rFonts w:ascii="Calibri" w:hAnsi="Calibri" w:cs="Times New Roman"/>
        </w:rPr>
        <w:t>into a lower regime stage, mitigations</w:t>
      </w:r>
      <w:r w:rsidR="001D71E4" w:rsidRPr="0124CF2A">
        <w:rPr>
          <w:rFonts w:ascii="Calibri" w:hAnsi="Calibri" w:cs="Times New Roman"/>
        </w:rPr>
        <w:t xml:space="preserve"> and controls</w:t>
      </w:r>
      <w:r w:rsidR="00A352E3" w:rsidRPr="0124CF2A">
        <w:rPr>
          <w:rFonts w:ascii="Calibri" w:hAnsi="Calibri" w:cs="Times New Roman"/>
        </w:rPr>
        <w:t xml:space="preserve"> will continue until a move back from them is announced.</w:t>
      </w:r>
    </w:p>
    <w:p w14:paraId="25D850B8" w14:textId="77777777" w:rsidR="00FE6CB4" w:rsidRDefault="00FE6CB4" w:rsidP="00EA1311">
      <w:pPr>
        <w:spacing w:after="0" w:line="240" w:lineRule="auto"/>
        <w:jc w:val="both"/>
        <w:rPr>
          <w:rFonts w:cstheme="minorHAnsi"/>
        </w:rPr>
      </w:pPr>
    </w:p>
    <w:p w14:paraId="51CCCEA9" w14:textId="2D439A9C" w:rsidR="006723F6" w:rsidRDefault="006723F6" w:rsidP="00EA1311">
      <w:pPr>
        <w:spacing w:after="0" w:line="240" w:lineRule="auto"/>
        <w:jc w:val="both"/>
      </w:pPr>
      <w:r>
        <w:t xml:space="preserve">This briefing provides details of the process for progression which has been informed by learning and feedback from previous recovery phases and it </w:t>
      </w:r>
      <w:r w:rsidR="006A546C">
        <w:t xml:space="preserve">is </w:t>
      </w:r>
      <w:r>
        <w:t xml:space="preserve">intended to be agile and with limited bureaucracy.  Using this process, </w:t>
      </w:r>
      <w:r w:rsidR="000411AB">
        <w:t>establishments</w:t>
      </w:r>
      <w:r>
        <w:t xml:space="preserve"> </w:t>
      </w:r>
      <w:r w:rsidR="00684EB2">
        <w:t>will have</w:t>
      </w:r>
      <w:r>
        <w:t xml:space="preserve"> continued operational flexibility to </w:t>
      </w:r>
      <w:r w:rsidR="561A69D9">
        <w:t xml:space="preserve">safely </w:t>
      </w:r>
      <w:r>
        <w:t xml:space="preserve">deliver regimes based on local risk and need, approved by Prison Group Directors (PGD) </w:t>
      </w:r>
      <w:r w:rsidR="40E43DD2">
        <w:t xml:space="preserve">with an oversight from </w:t>
      </w:r>
      <w:r w:rsidR="6435C154">
        <w:t>Executive</w:t>
      </w:r>
      <w:r w:rsidR="40E43DD2">
        <w:t xml:space="preserve"> Directors </w:t>
      </w:r>
      <w:r>
        <w:t xml:space="preserve">and regulated by the national heat map panel chaired by </w:t>
      </w:r>
      <w:r w:rsidR="0A4BCDE0">
        <w:t xml:space="preserve">COVID-19 </w:t>
      </w:r>
      <w:r>
        <w:t>Gold.</w:t>
      </w:r>
    </w:p>
    <w:p w14:paraId="56E29EA8" w14:textId="4EED6C32" w:rsidR="00427FE5" w:rsidRDefault="00427FE5" w:rsidP="00EA1311">
      <w:pPr>
        <w:spacing w:after="0" w:line="240" w:lineRule="auto"/>
        <w:jc w:val="both"/>
        <w:rPr>
          <w:rFonts w:cstheme="minorHAnsi"/>
        </w:rPr>
      </w:pPr>
    </w:p>
    <w:p w14:paraId="476CF5DE" w14:textId="607DE091" w:rsidR="00427FE5" w:rsidRPr="00195702" w:rsidRDefault="00D25028" w:rsidP="00EA1311">
      <w:pPr>
        <w:spacing w:after="0" w:line="240" w:lineRule="auto"/>
        <w:ind w:right="113"/>
        <w:jc w:val="both"/>
        <w:rPr>
          <w:b/>
          <w:bCs/>
        </w:rPr>
      </w:pPr>
      <w:r w:rsidRPr="001F13BB">
        <w:rPr>
          <w:b/>
          <w:bCs/>
        </w:rPr>
        <w:t xml:space="preserve">Prisons </w:t>
      </w:r>
      <w:r w:rsidR="0078180E">
        <w:rPr>
          <w:b/>
          <w:bCs/>
        </w:rPr>
        <w:t xml:space="preserve">and YCS Settings </w:t>
      </w:r>
      <w:r w:rsidRPr="001F13BB">
        <w:rPr>
          <w:b/>
          <w:bCs/>
        </w:rPr>
        <w:t>should be aware of all</w:t>
      </w:r>
      <w:r w:rsidRPr="00195702">
        <w:rPr>
          <w:b/>
          <w:bCs/>
        </w:rPr>
        <w:t xml:space="preserve"> </w:t>
      </w:r>
      <w:r w:rsidR="00427FE5" w:rsidRPr="00195702">
        <w:rPr>
          <w:b/>
          <w:bCs/>
        </w:rPr>
        <w:t>National Framewor</w:t>
      </w:r>
      <w:r w:rsidR="00427FE5" w:rsidRPr="00E36497">
        <w:rPr>
          <w:b/>
          <w:bCs/>
        </w:rPr>
        <w:t>k Controls</w:t>
      </w:r>
    </w:p>
    <w:p w14:paraId="21C9905B" w14:textId="77777777" w:rsidR="00D25028" w:rsidRDefault="00D25028" w:rsidP="00EA1311">
      <w:pPr>
        <w:spacing w:after="0" w:line="240" w:lineRule="auto"/>
        <w:ind w:right="113"/>
        <w:jc w:val="both"/>
        <w:rPr>
          <w:b/>
          <w:bCs/>
        </w:rPr>
      </w:pPr>
    </w:p>
    <w:p w14:paraId="3A211A9E" w14:textId="05B67C93" w:rsidR="00427FE5" w:rsidRDefault="6384D0B1" w:rsidP="00EA1311">
      <w:pPr>
        <w:spacing w:after="0" w:line="240" w:lineRule="auto"/>
        <w:ind w:right="113"/>
        <w:jc w:val="both"/>
      </w:pPr>
      <w:r>
        <w:t>An overview of each stage within the Prisons National Framework is provided below</w:t>
      </w:r>
      <w:r w:rsidR="5A4DAC54">
        <w:t>, with the expectations and controls at Stage 2 highlighted</w:t>
      </w:r>
      <w:r w:rsidR="4B1CF467">
        <w:t xml:space="preserve"> for planning and reference.</w:t>
      </w:r>
    </w:p>
    <w:p w14:paraId="2306F87E" w14:textId="69637DD4" w:rsidR="00427FE5" w:rsidRDefault="00427FE5" w:rsidP="00EA1311">
      <w:pPr>
        <w:spacing w:after="0" w:line="240" w:lineRule="auto"/>
        <w:ind w:right="113"/>
        <w:jc w:val="both"/>
      </w:pPr>
    </w:p>
    <w:p w14:paraId="28DF2574" w14:textId="77777777" w:rsidR="00FD4AB9" w:rsidRDefault="00FD4AB9" w:rsidP="00EA1311">
      <w:pPr>
        <w:spacing w:after="0" w:line="240" w:lineRule="auto"/>
        <w:ind w:right="113"/>
        <w:jc w:val="both"/>
      </w:pPr>
    </w:p>
    <w:tbl>
      <w:tblPr>
        <w:tblStyle w:val="TableGrid"/>
        <w:tblW w:w="0" w:type="auto"/>
        <w:tblInd w:w="0" w:type="dxa"/>
        <w:tblLook w:val="04A0" w:firstRow="1" w:lastRow="0" w:firstColumn="1" w:lastColumn="0" w:noHBand="0" w:noVBand="1"/>
      </w:tblPr>
      <w:tblGrid>
        <w:gridCol w:w="846"/>
        <w:gridCol w:w="8170"/>
      </w:tblGrid>
      <w:tr w:rsidR="00427FE5" w14:paraId="20539FC4" w14:textId="77777777" w:rsidTr="00427FE5">
        <w:tc>
          <w:tcPr>
            <w:tcW w:w="846" w:type="dxa"/>
            <w:tcBorders>
              <w:top w:val="single" w:sz="4" w:space="0" w:color="auto"/>
              <w:left w:val="single" w:sz="4" w:space="0" w:color="auto"/>
              <w:bottom w:val="single" w:sz="4" w:space="0" w:color="auto"/>
              <w:right w:val="single" w:sz="4" w:space="0" w:color="auto"/>
            </w:tcBorders>
            <w:hideMark/>
          </w:tcPr>
          <w:p w14:paraId="5D77AC20" w14:textId="77777777" w:rsidR="00427FE5" w:rsidRDefault="00427FE5" w:rsidP="00EA1311">
            <w:pPr>
              <w:ind w:right="113"/>
              <w:jc w:val="both"/>
            </w:pPr>
            <w:r>
              <w:lastRenderedPageBreak/>
              <w:t>Stage</w:t>
            </w:r>
          </w:p>
        </w:tc>
        <w:tc>
          <w:tcPr>
            <w:tcW w:w="8170" w:type="dxa"/>
            <w:tcBorders>
              <w:top w:val="single" w:sz="4" w:space="0" w:color="auto"/>
              <w:left w:val="single" w:sz="4" w:space="0" w:color="auto"/>
              <w:bottom w:val="single" w:sz="4" w:space="0" w:color="auto"/>
              <w:right w:val="single" w:sz="4" w:space="0" w:color="auto"/>
            </w:tcBorders>
            <w:hideMark/>
          </w:tcPr>
          <w:p w14:paraId="531323DC" w14:textId="77777777" w:rsidR="00427FE5" w:rsidRDefault="00427FE5" w:rsidP="00EA1311">
            <w:pPr>
              <w:ind w:right="113"/>
              <w:jc w:val="both"/>
            </w:pPr>
            <w:r>
              <w:t>Description and additional controls/changes now required</w:t>
            </w:r>
          </w:p>
        </w:tc>
      </w:tr>
      <w:tr w:rsidR="00427FE5" w14:paraId="0BE46DA9" w14:textId="77777777" w:rsidTr="00427FE5">
        <w:tc>
          <w:tcPr>
            <w:tcW w:w="846" w:type="dxa"/>
            <w:tcBorders>
              <w:top w:val="single" w:sz="4" w:space="0" w:color="auto"/>
              <w:left w:val="single" w:sz="4" w:space="0" w:color="auto"/>
              <w:bottom w:val="single" w:sz="4" w:space="0" w:color="auto"/>
              <w:right w:val="single" w:sz="4" w:space="0" w:color="auto"/>
            </w:tcBorders>
            <w:hideMark/>
          </w:tcPr>
          <w:p w14:paraId="4324EACF" w14:textId="77777777" w:rsidR="00427FE5" w:rsidRDefault="00427FE5" w:rsidP="00EA1311">
            <w:pPr>
              <w:ind w:right="113"/>
              <w:jc w:val="both"/>
            </w:pPr>
            <w:r>
              <w:t>1</w:t>
            </w:r>
          </w:p>
        </w:tc>
        <w:tc>
          <w:tcPr>
            <w:tcW w:w="8170" w:type="dxa"/>
            <w:tcBorders>
              <w:top w:val="single" w:sz="4" w:space="0" w:color="auto"/>
              <w:left w:val="single" w:sz="4" w:space="0" w:color="auto"/>
              <w:bottom w:val="single" w:sz="4" w:space="0" w:color="auto"/>
              <w:right w:val="single" w:sz="4" w:space="0" w:color="auto"/>
            </w:tcBorders>
            <w:hideMark/>
          </w:tcPr>
          <w:p w14:paraId="7A50E169" w14:textId="77777777" w:rsidR="00427FE5" w:rsidRDefault="00427FE5" w:rsidP="00EA1311">
            <w:pPr>
              <w:ind w:right="113"/>
              <w:jc w:val="both"/>
            </w:pPr>
            <w:r>
              <w:t xml:space="preserve">No social distancing but other SOP controls. Movements and regime groups operated to deliver a full regime balancing safety with sufficiency. Aim to expand regime based on available resource determined by the Regime Management Plan (RMP). </w:t>
            </w:r>
          </w:p>
        </w:tc>
      </w:tr>
      <w:tr w:rsidR="00427FE5" w14:paraId="2C91AC99" w14:textId="77777777" w:rsidTr="001F13BB">
        <w:tc>
          <w:tcPr>
            <w:tcW w:w="846" w:type="dxa"/>
            <w:tcBorders>
              <w:top w:val="single" w:sz="4" w:space="0" w:color="auto"/>
              <w:left w:val="single" w:sz="4" w:space="0" w:color="auto"/>
              <w:bottom w:val="single" w:sz="4" w:space="0" w:color="auto"/>
              <w:right w:val="single" w:sz="4" w:space="0" w:color="auto"/>
            </w:tcBorders>
            <w:shd w:val="clear" w:color="auto" w:fill="92D050"/>
            <w:hideMark/>
          </w:tcPr>
          <w:p w14:paraId="554FB141" w14:textId="77777777" w:rsidR="00427FE5" w:rsidRDefault="00427FE5" w:rsidP="00EA1311">
            <w:pPr>
              <w:ind w:right="113"/>
              <w:jc w:val="both"/>
            </w:pPr>
            <w:r>
              <w:t>2</w:t>
            </w:r>
          </w:p>
        </w:tc>
        <w:tc>
          <w:tcPr>
            <w:tcW w:w="8170" w:type="dxa"/>
            <w:tcBorders>
              <w:top w:val="single" w:sz="4" w:space="0" w:color="auto"/>
              <w:left w:val="single" w:sz="4" w:space="0" w:color="auto"/>
              <w:bottom w:val="single" w:sz="4" w:space="0" w:color="auto"/>
              <w:right w:val="single" w:sz="4" w:space="0" w:color="auto"/>
            </w:tcBorders>
            <w:shd w:val="clear" w:color="auto" w:fill="92D050"/>
            <w:hideMark/>
          </w:tcPr>
          <w:p w14:paraId="6D4FE1AD" w14:textId="66B6E3C3" w:rsidR="00427FE5" w:rsidRDefault="00427FE5" w:rsidP="00EA1311">
            <w:pPr>
              <w:ind w:right="113"/>
              <w:jc w:val="both"/>
            </w:pPr>
            <w:r>
              <w:t>Social distancing in place and other SOP controls.</w:t>
            </w:r>
            <w:r>
              <w:rPr>
                <w:b/>
                <w:bCs/>
              </w:rPr>
              <w:t xml:space="preserve"> </w:t>
            </w:r>
            <w:r>
              <w:t xml:space="preserve">Regime in </w:t>
            </w:r>
            <w:r w:rsidRPr="00427FE5">
              <w:rPr>
                <w:b/>
                <w:bCs/>
              </w:rPr>
              <w:t>all areas</w:t>
            </w:r>
            <w:r>
              <w:t xml:space="preserve"> subject to controls and </w:t>
            </w:r>
            <w:r w:rsidRPr="00427FE5">
              <w:rPr>
                <w:b/>
                <w:bCs/>
              </w:rPr>
              <w:t>social distancing in operation</w:t>
            </w:r>
            <w:r>
              <w:t xml:space="preserve">. </w:t>
            </w:r>
            <w:r w:rsidR="323CC1A1">
              <w:t xml:space="preserve">Most </w:t>
            </w:r>
            <w:r w:rsidR="000542C0">
              <w:t>w</w:t>
            </w:r>
            <w:r>
              <w:t>ork, education and regime activities operated</w:t>
            </w:r>
            <w:r w:rsidRPr="00427FE5">
              <w:rPr>
                <w:b/>
                <w:bCs/>
              </w:rPr>
              <w:t>. Social visits operating</w:t>
            </w:r>
            <w:r>
              <w:t xml:space="preserve"> with contact controls. </w:t>
            </w:r>
          </w:p>
        </w:tc>
      </w:tr>
      <w:tr w:rsidR="00427FE5" w14:paraId="24FFC6A4" w14:textId="77777777" w:rsidTr="00427FE5">
        <w:tc>
          <w:tcPr>
            <w:tcW w:w="846" w:type="dxa"/>
            <w:tcBorders>
              <w:top w:val="single" w:sz="4" w:space="0" w:color="auto"/>
              <w:left w:val="single" w:sz="4" w:space="0" w:color="auto"/>
              <w:bottom w:val="single" w:sz="4" w:space="0" w:color="auto"/>
              <w:right w:val="single" w:sz="4" w:space="0" w:color="auto"/>
            </w:tcBorders>
            <w:hideMark/>
          </w:tcPr>
          <w:p w14:paraId="6B974212" w14:textId="77777777" w:rsidR="00427FE5" w:rsidRDefault="00427FE5" w:rsidP="00EA1311">
            <w:pPr>
              <w:ind w:right="113"/>
              <w:jc w:val="both"/>
            </w:pPr>
            <w:r>
              <w:t>3</w:t>
            </w:r>
          </w:p>
        </w:tc>
        <w:tc>
          <w:tcPr>
            <w:tcW w:w="8170" w:type="dxa"/>
            <w:tcBorders>
              <w:top w:val="single" w:sz="4" w:space="0" w:color="auto"/>
              <w:left w:val="single" w:sz="4" w:space="0" w:color="auto"/>
              <w:bottom w:val="single" w:sz="4" w:space="0" w:color="auto"/>
              <w:right w:val="single" w:sz="4" w:space="0" w:color="auto"/>
            </w:tcBorders>
            <w:hideMark/>
          </w:tcPr>
          <w:p w14:paraId="24CE9A3C" w14:textId="77777777" w:rsidR="00427FE5" w:rsidRDefault="00427FE5" w:rsidP="00EA1311">
            <w:pPr>
              <w:ind w:right="113"/>
              <w:jc w:val="both"/>
            </w:pPr>
            <w:r>
              <w:t xml:space="preserve">Social distancing in place and other SOP controls.  Regime delivered under more restricted local operating procedure adhering to Exceptional Delivery Models (EDM). Predominantly essential work for prisoners only.  Social visits with contact controls but no refreshments, creche or property exchange. </w:t>
            </w:r>
          </w:p>
        </w:tc>
      </w:tr>
      <w:tr w:rsidR="00427FE5" w14:paraId="361FFBAD" w14:textId="77777777" w:rsidTr="00427FE5">
        <w:tc>
          <w:tcPr>
            <w:tcW w:w="846" w:type="dxa"/>
            <w:tcBorders>
              <w:top w:val="single" w:sz="4" w:space="0" w:color="auto"/>
              <w:left w:val="single" w:sz="4" w:space="0" w:color="auto"/>
              <w:bottom w:val="single" w:sz="4" w:space="0" w:color="auto"/>
              <w:right w:val="single" w:sz="4" w:space="0" w:color="auto"/>
            </w:tcBorders>
            <w:hideMark/>
          </w:tcPr>
          <w:p w14:paraId="03744910" w14:textId="77777777" w:rsidR="00427FE5" w:rsidRDefault="00427FE5" w:rsidP="00EA1311">
            <w:pPr>
              <w:ind w:right="113"/>
              <w:jc w:val="both"/>
            </w:pPr>
            <w:r>
              <w:t>4</w:t>
            </w:r>
          </w:p>
        </w:tc>
        <w:tc>
          <w:tcPr>
            <w:tcW w:w="8170" w:type="dxa"/>
            <w:tcBorders>
              <w:top w:val="single" w:sz="4" w:space="0" w:color="auto"/>
              <w:left w:val="single" w:sz="4" w:space="0" w:color="auto"/>
              <w:bottom w:val="single" w:sz="4" w:space="0" w:color="auto"/>
              <w:right w:val="single" w:sz="4" w:space="0" w:color="auto"/>
            </w:tcBorders>
            <w:hideMark/>
          </w:tcPr>
          <w:p w14:paraId="1F23A93B" w14:textId="6CD01726" w:rsidR="00427FE5" w:rsidRDefault="00B073D3" w:rsidP="00EA1311">
            <w:pPr>
              <w:ind w:right="113"/>
              <w:jc w:val="both"/>
            </w:pPr>
            <w:r>
              <w:t>Establishment</w:t>
            </w:r>
            <w:r w:rsidR="00427FE5">
              <w:t xml:space="preserve"> locked down, regime restricted except for essential services (meals, showers, healthcare, family contact (telephone and video calling) and </w:t>
            </w:r>
            <w:proofErr w:type="spellStart"/>
            <w:r w:rsidR="00427FE5">
              <w:t>TiOA</w:t>
            </w:r>
            <w:proofErr w:type="spellEnd"/>
            <w:r w:rsidR="00427FE5">
              <w:t>) and associated provision. High level of social distancing and controls.  Social visits suspended or exceptionally approved but with no contact.</w:t>
            </w:r>
          </w:p>
        </w:tc>
      </w:tr>
      <w:tr w:rsidR="00427FE5" w14:paraId="071322FD" w14:textId="77777777" w:rsidTr="00427FE5">
        <w:tc>
          <w:tcPr>
            <w:tcW w:w="846" w:type="dxa"/>
            <w:tcBorders>
              <w:top w:val="single" w:sz="4" w:space="0" w:color="auto"/>
              <w:left w:val="single" w:sz="4" w:space="0" w:color="auto"/>
              <w:bottom w:val="single" w:sz="4" w:space="0" w:color="auto"/>
              <w:right w:val="single" w:sz="4" w:space="0" w:color="auto"/>
            </w:tcBorders>
            <w:hideMark/>
          </w:tcPr>
          <w:p w14:paraId="0406DB04" w14:textId="77777777" w:rsidR="00427FE5" w:rsidRDefault="00427FE5" w:rsidP="00EA1311">
            <w:pPr>
              <w:ind w:right="113"/>
              <w:jc w:val="both"/>
            </w:pPr>
            <w:r>
              <w:t>5</w:t>
            </w:r>
          </w:p>
        </w:tc>
        <w:tc>
          <w:tcPr>
            <w:tcW w:w="8170" w:type="dxa"/>
            <w:tcBorders>
              <w:top w:val="single" w:sz="4" w:space="0" w:color="auto"/>
              <w:left w:val="single" w:sz="4" w:space="0" w:color="auto"/>
              <w:bottom w:val="single" w:sz="4" w:space="0" w:color="auto"/>
              <w:right w:val="single" w:sz="4" w:space="0" w:color="auto"/>
            </w:tcBorders>
            <w:hideMark/>
          </w:tcPr>
          <w:p w14:paraId="160CE0A7" w14:textId="34AB4940" w:rsidR="00427FE5" w:rsidRDefault="00427FE5" w:rsidP="00EA1311">
            <w:pPr>
              <w:ind w:right="113"/>
              <w:jc w:val="both"/>
            </w:pPr>
            <w:r>
              <w:t>Full</w:t>
            </w:r>
            <w:r w:rsidR="00B073D3">
              <w:t xml:space="preserve"> establishment</w:t>
            </w:r>
            <w:r>
              <w:t xml:space="preserve"> lockdown below essential regime delivery. This will only be enacted under exceptional circumstances where staffing availability due to the pandemic requires a regime focused to preserve life where there is extreme and immediate pressure.</w:t>
            </w:r>
          </w:p>
        </w:tc>
      </w:tr>
    </w:tbl>
    <w:p w14:paraId="5A1D53B5" w14:textId="77777777" w:rsidR="00F00FCA" w:rsidRDefault="00F00FCA" w:rsidP="00EA1311">
      <w:pPr>
        <w:spacing w:after="0" w:line="240" w:lineRule="auto"/>
        <w:jc w:val="both"/>
        <w:rPr>
          <w:rFonts w:cstheme="minorHAnsi"/>
        </w:rPr>
      </w:pPr>
    </w:p>
    <w:p w14:paraId="3C1FF690" w14:textId="77777777" w:rsidR="00F00FCA" w:rsidRDefault="00F00FCA" w:rsidP="00EA1311">
      <w:pPr>
        <w:spacing w:after="0" w:line="240" w:lineRule="auto"/>
        <w:jc w:val="both"/>
        <w:rPr>
          <w:rFonts w:cstheme="minorHAnsi"/>
        </w:rPr>
      </w:pPr>
    </w:p>
    <w:p w14:paraId="699B3B39" w14:textId="158F1CC7" w:rsidR="006723F6" w:rsidRDefault="5A4DAC54" w:rsidP="00EA1311">
      <w:pPr>
        <w:jc w:val="both"/>
        <w:rPr>
          <w:rFonts w:cstheme="minorHAnsi"/>
        </w:rPr>
      </w:pPr>
      <w:r w:rsidRPr="0124CF2A">
        <w:t xml:space="preserve">It is important at Stage 2 to continue </w:t>
      </w:r>
      <w:r w:rsidRPr="0124CF2A">
        <w:rPr>
          <w:b/>
          <w:bCs/>
        </w:rPr>
        <w:t>social distancing controls</w:t>
      </w:r>
      <w:r w:rsidR="4B1CF467" w:rsidRPr="0124CF2A">
        <w:t>,</w:t>
      </w:r>
      <w:r w:rsidRPr="0124CF2A">
        <w:t xml:space="preserve"> clarification </w:t>
      </w:r>
      <w:r w:rsidR="4B1CF467" w:rsidRPr="0124CF2A">
        <w:t>of which are</w:t>
      </w:r>
      <w:r w:rsidRPr="0124CF2A">
        <w:t xml:space="preserve"> provided here. </w:t>
      </w:r>
      <w:r w:rsidR="42D7434A" w:rsidRPr="0124CF2A">
        <w:t xml:space="preserve">Social distancing is the maintenance of a minimum 2 metre distance from those that do not reside together in a “household”. </w:t>
      </w:r>
      <w:r w:rsidR="1CD08D4C" w:rsidRPr="0124CF2A">
        <w:t xml:space="preserve"> The HMPPS definition of a household is either a cell or dormitory sharer.</w:t>
      </w:r>
      <w:r w:rsidR="42D7434A" w:rsidRPr="0124CF2A">
        <w:t xml:space="preserve"> The v8 HMPPS SOPs detail circumstances where the </w:t>
      </w:r>
      <w:r w:rsidR="26EAEE81" w:rsidRPr="0124CF2A">
        <w:t>2-</w:t>
      </w:r>
      <w:r w:rsidR="42D7434A" w:rsidRPr="0124CF2A">
        <w:t xml:space="preserve">metre social distancing rule cannot be maintained and the controls that should be in place to manage specific activities. These are accessible </w:t>
      </w:r>
      <w:hyperlink r:id="rId11">
        <w:r w:rsidR="42D7434A" w:rsidRPr="0124CF2A">
          <w:rPr>
            <w:rStyle w:val="Hyperlink"/>
          </w:rPr>
          <w:t>here.</w:t>
        </w:r>
      </w:hyperlink>
      <w:r w:rsidR="42D7434A" w:rsidRPr="0124CF2A">
        <w:t xml:space="preserve"> The key mitigation in these circumstances is the use of face masks as PPE to allow sub-2 metre contact. </w:t>
      </w:r>
      <w:r w:rsidR="724A1A89" w:rsidRPr="0124CF2A">
        <w:t xml:space="preserve">All other </w:t>
      </w:r>
      <w:r w:rsidR="0DCFEFC8" w:rsidRPr="0124CF2A">
        <w:t xml:space="preserve">SOPs remain in place during Stage 2 and the V8 suite are available via </w:t>
      </w:r>
      <w:hyperlink r:id="rId12">
        <w:r w:rsidR="0DCFEFC8" w:rsidRPr="0124CF2A">
          <w:rPr>
            <w:rStyle w:val="Hyperlink"/>
          </w:rPr>
          <w:t>Safe Operating Procedures (SOP) – Prisons Exceptional Regime &amp; Service Delivery (hmppsintranet.org.uk)</w:t>
        </w:r>
      </w:hyperlink>
      <w:r w:rsidR="0DCFEFC8" w:rsidRPr="0124CF2A">
        <w:t>.</w:t>
      </w:r>
      <w:r w:rsidR="006A546C">
        <w:t xml:space="preserve"> </w:t>
      </w:r>
      <w:r w:rsidR="0DCFEFC8" w:rsidRPr="0124CF2A">
        <w:t xml:space="preserve"> Prisons</w:t>
      </w:r>
      <w:r w:rsidR="00B073D3">
        <w:t xml:space="preserve"> and YCS settings</w:t>
      </w:r>
      <w:r w:rsidR="0DCFEFC8" w:rsidRPr="0124CF2A">
        <w:t xml:space="preserve"> will also operate to the current COVID</w:t>
      </w:r>
      <w:r w:rsidR="0346A33B" w:rsidRPr="0124CF2A">
        <w:t>-</w:t>
      </w:r>
      <w:r w:rsidR="0DCFEFC8" w:rsidRPr="0124CF2A">
        <w:t>19 related guidance</w:t>
      </w:r>
      <w:r w:rsidR="134F1A9F" w:rsidRPr="0124CF2A">
        <w:t>,</w:t>
      </w:r>
      <w:r w:rsidR="0DCFEFC8" w:rsidRPr="0124CF2A">
        <w:t xml:space="preserve"> publications and briefing updates.</w:t>
      </w:r>
      <w:r w:rsidR="0DCFEFC8">
        <w:t xml:space="preserve"> </w:t>
      </w:r>
    </w:p>
    <w:p w14:paraId="033BDDD1" w14:textId="0653641B" w:rsidR="006723F6" w:rsidRPr="00195702" w:rsidRDefault="5A4DAC54" w:rsidP="00EA1311">
      <w:pPr>
        <w:spacing w:after="0" w:line="240" w:lineRule="auto"/>
        <w:jc w:val="both"/>
        <w:rPr>
          <w:b/>
          <w:bCs/>
          <w:u w:val="single"/>
        </w:rPr>
      </w:pPr>
      <w:r w:rsidRPr="0124CF2A">
        <w:rPr>
          <w:b/>
          <w:bCs/>
        </w:rPr>
        <w:t xml:space="preserve">If a </w:t>
      </w:r>
      <w:r w:rsidR="13A78764" w:rsidRPr="0124CF2A">
        <w:rPr>
          <w:b/>
          <w:bCs/>
        </w:rPr>
        <w:t xml:space="preserve">prison considers themselves ready to </w:t>
      </w:r>
      <w:r w:rsidR="2205A1AC" w:rsidRPr="0124CF2A">
        <w:rPr>
          <w:b/>
          <w:bCs/>
        </w:rPr>
        <w:t>revert to Stage 2</w:t>
      </w:r>
      <w:r w:rsidR="13A78764" w:rsidRPr="0124CF2A">
        <w:rPr>
          <w:b/>
          <w:bCs/>
        </w:rPr>
        <w:t xml:space="preserve">, they </w:t>
      </w:r>
      <w:r w:rsidRPr="0124CF2A">
        <w:rPr>
          <w:b/>
          <w:bCs/>
        </w:rPr>
        <w:t xml:space="preserve">must </w:t>
      </w:r>
      <w:r w:rsidR="60420185" w:rsidRPr="0124CF2A">
        <w:rPr>
          <w:b/>
          <w:bCs/>
        </w:rPr>
        <w:t xml:space="preserve">follow the outlined </w:t>
      </w:r>
      <w:r w:rsidR="006723F6" w:rsidRPr="0124CF2A">
        <w:rPr>
          <w:b/>
          <w:bCs/>
        </w:rPr>
        <w:t>Process</w:t>
      </w:r>
      <w:r w:rsidR="4B1CF467" w:rsidRPr="0124CF2A">
        <w:rPr>
          <w:b/>
          <w:bCs/>
        </w:rPr>
        <w:t xml:space="preserve"> below</w:t>
      </w:r>
    </w:p>
    <w:p w14:paraId="201EACD2" w14:textId="77485560" w:rsidR="006723F6" w:rsidRPr="00D118C9" w:rsidRDefault="006723F6" w:rsidP="00EA1311">
      <w:pPr>
        <w:spacing w:after="0" w:line="240" w:lineRule="auto"/>
        <w:jc w:val="both"/>
      </w:pPr>
    </w:p>
    <w:p w14:paraId="22A50BA0" w14:textId="1AC1A5BA" w:rsidR="0052568B" w:rsidRPr="00D118C9" w:rsidRDefault="00B073D3" w:rsidP="00EA1311">
      <w:pPr>
        <w:pStyle w:val="ListParagraph"/>
        <w:numPr>
          <w:ilvl w:val="0"/>
          <w:numId w:val="2"/>
        </w:numPr>
        <w:spacing w:after="0" w:line="240" w:lineRule="auto"/>
        <w:jc w:val="both"/>
      </w:pPr>
      <w:r>
        <w:t>Establishments</w:t>
      </w:r>
      <w:r w:rsidR="006723F6">
        <w:t xml:space="preserve"> rated </w:t>
      </w:r>
      <w:r w:rsidR="006723F6" w:rsidRPr="0124CF2A">
        <w:rPr>
          <w:b/>
          <w:bCs/>
          <w:color w:val="00B050"/>
        </w:rPr>
        <w:t>green</w:t>
      </w:r>
      <w:r w:rsidR="006723F6" w:rsidRPr="0124CF2A">
        <w:rPr>
          <w:b/>
          <w:bCs/>
        </w:rPr>
        <w:t xml:space="preserve"> or </w:t>
      </w:r>
      <w:r w:rsidR="006723F6" w:rsidRPr="0124CF2A">
        <w:rPr>
          <w:b/>
          <w:bCs/>
          <w:color w:val="FFC000" w:themeColor="accent4"/>
        </w:rPr>
        <w:t>amber</w:t>
      </w:r>
      <w:r w:rsidR="006723F6">
        <w:t xml:space="preserve"> on the national </w:t>
      </w:r>
      <w:hyperlink r:id="rId13" w:history="1">
        <w:r w:rsidR="281BE065" w:rsidRPr="0124CF2A">
          <w:rPr>
            <w:rStyle w:val="Hyperlink"/>
          </w:rPr>
          <w:t>heatmap</w:t>
        </w:r>
      </w:hyperlink>
      <w:r w:rsidR="006723F6">
        <w:t xml:space="preserve"> will be permitted to submit progression paperwork </w:t>
      </w:r>
      <w:r w:rsidR="475E01D2">
        <w:t xml:space="preserve">to PGD </w:t>
      </w:r>
      <w:r w:rsidR="006723F6">
        <w:t xml:space="preserve">for approval. PGDs will </w:t>
      </w:r>
      <w:r w:rsidR="5A060A68">
        <w:t xml:space="preserve">either </w:t>
      </w:r>
      <w:r w:rsidR="006723F6">
        <w:t xml:space="preserve">consider reviewed plans or verify that </w:t>
      </w:r>
      <w:r w:rsidR="786CB39D">
        <w:t>existing</w:t>
      </w:r>
      <w:r w:rsidR="006723F6">
        <w:t xml:space="preserve"> </w:t>
      </w:r>
      <w:r w:rsidR="006A546C">
        <w:t xml:space="preserve">plans </w:t>
      </w:r>
      <w:r w:rsidR="006723F6">
        <w:t>are still appropriate</w:t>
      </w:r>
      <w:r w:rsidR="006A546C">
        <w:t>;</w:t>
      </w:r>
      <w:r w:rsidR="15A95547">
        <w:t xml:space="preserve"> </w:t>
      </w:r>
      <w:r>
        <w:t>establishments</w:t>
      </w:r>
      <w:r w:rsidR="006723F6">
        <w:t xml:space="preserve"> may reuse pre-existing paperwork </w:t>
      </w:r>
      <w:r w:rsidR="5A4DAC54">
        <w:t xml:space="preserve">if </w:t>
      </w:r>
      <w:r w:rsidR="006A546C">
        <w:t>they have been at this stage previously</w:t>
      </w:r>
      <w:r w:rsidR="5A4DAC54">
        <w:t xml:space="preserve">, and </w:t>
      </w:r>
      <w:r w:rsidR="006723F6">
        <w:t>it still reflects deliverable plans</w:t>
      </w:r>
      <w:r w:rsidR="7749C684">
        <w:t xml:space="preserve">. </w:t>
      </w:r>
      <w:r>
        <w:t>Establishment</w:t>
      </w:r>
      <w:r w:rsidR="2A9FEDDF">
        <w:t xml:space="preserve">s must </w:t>
      </w:r>
      <w:r w:rsidR="0981A29F">
        <w:t xml:space="preserve">primarily </w:t>
      </w:r>
      <w:r w:rsidR="2A9FEDDF">
        <w:t xml:space="preserve">consult the </w:t>
      </w:r>
      <w:r w:rsidR="001F28A1">
        <w:t>Stage 2</w:t>
      </w:r>
      <w:r w:rsidR="0981A29F">
        <w:t xml:space="preserve"> </w:t>
      </w:r>
      <w:r w:rsidR="2A9FEDDF">
        <w:t>checklist</w:t>
      </w:r>
      <w:r w:rsidR="006723F6">
        <w:t xml:space="preserve"> </w:t>
      </w:r>
      <w:r w:rsidR="1BCB4EB4">
        <w:t>and ensure that they have either previous or current proof of engagement with relevant parties and stakeholders.</w:t>
      </w:r>
      <w:r w:rsidR="009504D0">
        <w:t xml:space="preserve"> </w:t>
      </w:r>
      <w:r w:rsidR="4194A609">
        <w:t>A</w:t>
      </w:r>
      <w:r w:rsidR="000D3094">
        <w:t>ny</w:t>
      </w:r>
      <w:r w:rsidR="4194A609">
        <w:t xml:space="preserve"> </w:t>
      </w:r>
      <w:r w:rsidR="006A546C">
        <w:t>l</w:t>
      </w:r>
      <w:r w:rsidR="4194A609">
        <w:t xml:space="preserve">ocal </w:t>
      </w:r>
      <w:r w:rsidR="001F28A1">
        <w:t>Stage 2</w:t>
      </w:r>
      <w:r w:rsidR="4194A609">
        <w:t xml:space="preserve"> </w:t>
      </w:r>
      <w:r w:rsidR="006A546C">
        <w:t>p</w:t>
      </w:r>
      <w:r w:rsidR="4194A609">
        <w:t>lan</w:t>
      </w:r>
      <w:r w:rsidR="000D3094">
        <w:t>s</w:t>
      </w:r>
      <w:r w:rsidR="4194A609">
        <w:t xml:space="preserve"> must be reviewed, and L</w:t>
      </w:r>
      <w:r w:rsidR="10B127E9">
        <w:t xml:space="preserve">ocal </w:t>
      </w:r>
      <w:r w:rsidR="4194A609">
        <w:t>O</w:t>
      </w:r>
      <w:r w:rsidR="10B127E9">
        <w:t xml:space="preserve">perating </w:t>
      </w:r>
      <w:r w:rsidR="4194A609">
        <w:t>P</w:t>
      </w:r>
      <w:r w:rsidR="10B127E9">
        <w:t>rocedure</w:t>
      </w:r>
      <w:r w:rsidR="4194A609">
        <w:t xml:space="preserve">s </w:t>
      </w:r>
      <w:r w:rsidR="000D3094">
        <w:t xml:space="preserve">checked for </w:t>
      </w:r>
      <w:r w:rsidR="10B127E9">
        <w:t>current relevance in line with planned progression.</w:t>
      </w:r>
    </w:p>
    <w:p w14:paraId="071608D5" w14:textId="66D86B9A" w:rsidR="66B6ECF4" w:rsidRDefault="66B6ECF4" w:rsidP="00EA1311">
      <w:pPr>
        <w:pStyle w:val="ListParagraph"/>
        <w:numPr>
          <w:ilvl w:val="0"/>
          <w:numId w:val="2"/>
        </w:numPr>
        <w:spacing w:after="0" w:line="240" w:lineRule="auto"/>
        <w:jc w:val="both"/>
      </w:pPr>
      <w:r>
        <w:t xml:space="preserve">Sites that have not previously had Stage 2 regime plans approved must follow the progression process in full, including full consultation with stakeholders (inclusive of Trade Unions). </w:t>
      </w:r>
    </w:p>
    <w:p w14:paraId="0DA5DFCB" w14:textId="77777777" w:rsidR="00112DF8" w:rsidRDefault="00112DF8" w:rsidP="00EA1311">
      <w:pPr>
        <w:spacing w:after="0" w:line="240" w:lineRule="auto"/>
        <w:jc w:val="both"/>
      </w:pPr>
    </w:p>
    <w:p w14:paraId="23F18DCD" w14:textId="34CF79F4" w:rsidR="001E3EC6" w:rsidRPr="00D118C9" w:rsidRDefault="006A546C" w:rsidP="00EA1311">
      <w:pPr>
        <w:spacing w:after="0" w:line="240" w:lineRule="auto"/>
        <w:jc w:val="both"/>
      </w:pPr>
      <w:r>
        <w:t>An</w:t>
      </w:r>
      <w:r w:rsidR="5D14B5B1">
        <w:t xml:space="preserve"> aide memoire (checklist), is attached </w:t>
      </w:r>
      <w:r w:rsidR="07F28BEE">
        <w:t xml:space="preserve">as an annex </w:t>
      </w:r>
      <w:r>
        <w:t>and</w:t>
      </w:r>
      <w:r w:rsidR="5D14B5B1">
        <w:t xml:space="preserve"> provides a guide to the process of progression. This version of the checklist has slight updates</w:t>
      </w:r>
      <w:r w:rsidR="234BAE6A">
        <w:t xml:space="preserve"> to reflect changes since it was first issued. This includes reflection that for sites who have previously had Stage 2 plans signed off, </w:t>
      </w:r>
      <w:r w:rsidR="5D14B5B1">
        <w:t xml:space="preserve"> </w:t>
      </w:r>
      <w:r w:rsidR="4D940F2E">
        <w:t xml:space="preserve">there </w:t>
      </w:r>
      <w:r w:rsidR="28CAF7A4">
        <w:t xml:space="preserve">will need to be clear </w:t>
      </w:r>
      <w:r w:rsidR="2B9850FF">
        <w:t xml:space="preserve">engagement </w:t>
      </w:r>
      <w:r w:rsidR="28CAF7A4">
        <w:t xml:space="preserve">with </w:t>
      </w:r>
      <w:r w:rsidR="3DB3C4D4">
        <w:t xml:space="preserve">local </w:t>
      </w:r>
      <w:r w:rsidR="4D940F2E">
        <w:t>trade union</w:t>
      </w:r>
      <w:r w:rsidR="2880C2CA">
        <w:t xml:space="preserve"> representatives</w:t>
      </w:r>
      <w:r w:rsidR="4D940F2E">
        <w:t xml:space="preserve"> </w:t>
      </w:r>
      <w:r w:rsidR="1CEA0C57" w:rsidRPr="0124CF2A">
        <w:rPr>
          <w:rFonts w:ascii="Calibri" w:eastAsia="Calibri" w:hAnsi="Calibri" w:cs="Calibri"/>
          <w:lang w:val="en-US"/>
        </w:rPr>
        <w:t>(or regional representatives in respect of PGA and some NTUS reps, where local representatives aren’t available)</w:t>
      </w:r>
      <w:r w:rsidR="1CEA0C57">
        <w:t xml:space="preserve"> </w:t>
      </w:r>
      <w:r w:rsidR="4D940F2E">
        <w:t xml:space="preserve">prior to progression, </w:t>
      </w:r>
      <w:r w:rsidR="2B9850FF">
        <w:lastRenderedPageBreak/>
        <w:t xml:space="preserve">however a full consultation will not be necessary </w:t>
      </w:r>
      <w:r w:rsidR="534D4D55">
        <w:t>as long as</w:t>
      </w:r>
      <w:r w:rsidR="2B9850FF">
        <w:t xml:space="preserve"> </w:t>
      </w:r>
      <w:r w:rsidR="004020FD">
        <w:t>plans have not changed</w:t>
      </w:r>
      <w:r w:rsidR="2B9850FF">
        <w:t xml:space="preserve"> </w:t>
      </w:r>
      <w:r w:rsidR="004020FD">
        <w:t>since</w:t>
      </w:r>
      <w:r w:rsidR="28CAF7A4">
        <w:t xml:space="preserve"> </w:t>
      </w:r>
      <w:r>
        <w:t xml:space="preserve">the </w:t>
      </w:r>
      <w:r w:rsidR="28CAF7A4">
        <w:t xml:space="preserve">previous move to Stage 2. </w:t>
      </w:r>
      <w:r w:rsidR="4C60CB7C">
        <w:t xml:space="preserve">This engagement must include the sharing of revised risk assessments where relevant.  </w:t>
      </w:r>
      <w:r w:rsidR="00BA12FC">
        <w:t xml:space="preserve">A </w:t>
      </w:r>
      <w:r w:rsidR="007E5B74">
        <w:t>synopsis</w:t>
      </w:r>
      <w:r w:rsidR="00BA12FC">
        <w:t xml:space="preserve"> of any planned changes </w:t>
      </w:r>
      <w:r w:rsidR="007E5B74">
        <w:t xml:space="preserve">should </w:t>
      </w:r>
      <w:r w:rsidR="00BA12FC">
        <w:t xml:space="preserve">be </w:t>
      </w:r>
      <w:proofErr w:type="gramStart"/>
      <w:r w:rsidR="00BA12FC">
        <w:t>shared</w:t>
      </w:r>
      <w:proofErr w:type="gramEnd"/>
      <w:r w:rsidR="00BA12FC">
        <w:t xml:space="preserve"> </w:t>
      </w:r>
      <w:r w:rsidR="001E3EC6">
        <w:t>and establishments should refer to the previously published guidance on how this must be done</w:t>
      </w:r>
      <w:r w:rsidR="00FF0AA9">
        <w:t>- establishments may wish to share the PGD checklist with Trade Unions also</w:t>
      </w:r>
      <w:r w:rsidR="00074FFF">
        <w:t xml:space="preserve"> when consulting</w:t>
      </w:r>
      <w:r w:rsidR="001E3EC6">
        <w:t xml:space="preserve">. Governors and Directors have discretion to provide additional facility time to </w:t>
      </w:r>
      <w:r w:rsidR="00656558">
        <w:t xml:space="preserve">allow engagement to take place where this is required. </w:t>
      </w:r>
    </w:p>
    <w:p w14:paraId="06B0A15C" w14:textId="1B1A26C9" w:rsidR="00F5132D" w:rsidRDefault="006723F6" w:rsidP="00EA1311">
      <w:pPr>
        <w:pStyle w:val="ListParagraph"/>
        <w:numPr>
          <w:ilvl w:val="0"/>
          <w:numId w:val="2"/>
        </w:numPr>
        <w:spacing w:after="0" w:line="240" w:lineRule="auto"/>
        <w:jc w:val="both"/>
      </w:pPr>
      <w:r w:rsidRPr="33DF5090">
        <w:t xml:space="preserve">PGDs will approve progression once they are satisfied that the </w:t>
      </w:r>
      <w:r w:rsidR="006C7863">
        <w:t>establishment</w:t>
      </w:r>
      <w:r w:rsidRPr="33DF5090">
        <w:t xml:space="preserve"> has appropriately assessed the local risk, has clear plans in place and ha</w:t>
      </w:r>
      <w:r w:rsidR="00A03B6A" w:rsidRPr="33DF5090">
        <w:t>ve notifie</w:t>
      </w:r>
      <w:r w:rsidR="006315E4" w:rsidRPr="33DF5090">
        <w:t>d</w:t>
      </w:r>
      <w:r w:rsidRPr="33DF5090">
        <w:t xml:space="preserve"> trade unions and public health leads</w:t>
      </w:r>
      <w:r w:rsidR="006315E4" w:rsidRPr="33DF5090">
        <w:t xml:space="preserve"> and demonstrated previous consultation and discussion.</w:t>
      </w:r>
      <w:r w:rsidRPr="33DF5090">
        <w:t xml:space="preserve">  </w:t>
      </w:r>
    </w:p>
    <w:p w14:paraId="62E77453" w14:textId="1D59A690" w:rsidR="006723F6" w:rsidRPr="00173907" w:rsidRDefault="00FF3D8C" w:rsidP="00EA1311">
      <w:pPr>
        <w:pStyle w:val="ListParagraph"/>
        <w:numPr>
          <w:ilvl w:val="0"/>
          <w:numId w:val="2"/>
        </w:numPr>
        <w:spacing w:after="0" w:line="240" w:lineRule="auto"/>
        <w:jc w:val="both"/>
      </w:pPr>
      <w:r w:rsidRPr="33DF5090">
        <w:t>Executive</w:t>
      </w:r>
      <w:r w:rsidR="00F5132D" w:rsidRPr="33DF5090">
        <w:t xml:space="preserve"> Directors </w:t>
      </w:r>
      <w:r w:rsidR="006A546C">
        <w:t xml:space="preserve">(ED) </w:t>
      </w:r>
      <w:r w:rsidR="0019504D" w:rsidRPr="33DF5090">
        <w:t xml:space="preserve">will have oversight, and if they believe </w:t>
      </w:r>
      <w:r w:rsidR="006A546C">
        <w:t xml:space="preserve">it </w:t>
      </w:r>
      <w:r w:rsidR="0019504D" w:rsidRPr="33DF5090">
        <w:t xml:space="preserve">necessary will be able to request additional information from </w:t>
      </w:r>
      <w:proofErr w:type="gramStart"/>
      <w:r w:rsidR="0019504D" w:rsidRPr="33DF5090">
        <w:t>particular si</w:t>
      </w:r>
      <w:r w:rsidR="1BCD16B8" w:rsidRPr="33DF5090">
        <w:t>te</w:t>
      </w:r>
      <w:r w:rsidR="0019504D" w:rsidRPr="33DF5090">
        <w:t>s</w:t>
      </w:r>
      <w:proofErr w:type="gramEnd"/>
      <w:r w:rsidR="0019504D" w:rsidRPr="33DF5090">
        <w:t xml:space="preserve">. </w:t>
      </w:r>
    </w:p>
    <w:p w14:paraId="64668CA3" w14:textId="35BF426E" w:rsidR="006723F6" w:rsidRDefault="006723F6" w:rsidP="00EA1311">
      <w:pPr>
        <w:pStyle w:val="ListParagraph"/>
        <w:numPr>
          <w:ilvl w:val="0"/>
          <w:numId w:val="2"/>
        </w:numPr>
        <w:spacing w:after="0" w:line="240" w:lineRule="auto"/>
        <w:jc w:val="both"/>
      </w:pPr>
      <w:r w:rsidRPr="33DF5090">
        <w:t>Gold will be notified</w:t>
      </w:r>
      <w:r w:rsidR="003F6C2B">
        <w:t xml:space="preserve"> by ED</w:t>
      </w:r>
      <w:r w:rsidR="006A546C">
        <w:t xml:space="preserve"> office</w:t>
      </w:r>
      <w:r w:rsidR="003F6C2B">
        <w:t>s</w:t>
      </w:r>
      <w:r w:rsidRPr="33DF5090">
        <w:t xml:space="preserve"> of the approved progression, the regime stage and the date for the change.</w:t>
      </w:r>
    </w:p>
    <w:p w14:paraId="3739FD56" w14:textId="4112F9CD" w:rsidR="0124CF2A" w:rsidRDefault="0088602F" w:rsidP="00EA1311">
      <w:pPr>
        <w:spacing w:after="0" w:line="240" w:lineRule="auto"/>
        <w:jc w:val="both"/>
      </w:pPr>
      <w:hyperlink r:id="rId14" w:history="1"/>
    </w:p>
    <w:p w14:paraId="7E769C95" w14:textId="11DAD76F" w:rsidR="006723F6" w:rsidRPr="00525EC4" w:rsidRDefault="00D6327B" w:rsidP="00EA1311">
      <w:pPr>
        <w:spacing w:after="0" w:line="240" w:lineRule="auto"/>
        <w:jc w:val="both"/>
        <w:rPr>
          <w:rFonts w:ascii="Calibri" w:hAnsi="Calibri" w:cs="Times New Roman"/>
          <w:b/>
          <w:bCs/>
        </w:rPr>
      </w:pPr>
      <w:r w:rsidRPr="00525EC4">
        <w:rPr>
          <w:rFonts w:ascii="Calibri" w:hAnsi="Calibri" w:cs="Times New Roman"/>
          <w:b/>
          <w:bCs/>
        </w:rPr>
        <w:t xml:space="preserve">The following </w:t>
      </w:r>
      <w:r w:rsidRPr="0016296D">
        <w:rPr>
          <w:rFonts w:ascii="Calibri" w:hAnsi="Calibri" w:cs="Times New Roman"/>
          <w:b/>
          <w:bCs/>
        </w:rPr>
        <w:t>c</w:t>
      </w:r>
      <w:r w:rsidR="006723F6" w:rsidRPr="0016296D">
        <w:rPr>
          <w:rFonts w:ascii="Calibri" w:hAnsi="Calibri" w:cs="Times New Roman"/>
          <w:b/>
          <w:bCs/>
        </w:rPr>
        <w:t>onditions</w:t>
      </w:r>
      <w:r w:rsidRPr="00525EC4">
        <w:rPr>
          <w:rFonts w:ascii="Calibri" w:hAnsi="Calibri" w:cs="Times New Roman"/>
          <w:b/>
          <w:bCs/>
        </w:rPr>
        <w:t xml:space="preserve"> must be considered for progression</w:t>
      </w:r>
    </w:p>
    <w:p w14:paraId="13878569" w14:textId="77777777" w:rsidR="00D6327B" w:rsidRPr="00D52A33" w:rsidRDefault="00D6327B" w:rsidP="00EA1311">
      <w:pPr>
        <w:spacing w:after="0" w:line="240" w:lineRule="auto"/>
        <w:jc w:val="both"/>
        <w:rPr>
          <w:rFonts w:ascii="Calibri" w:hAnsi="Calibri" w:cs="Times New Roman"/>
          <w:b/>
          <w:bCs/>
          <w:u w:val="single"/>
        </w:rPr>
      </w:pPr>
    </w:p>
    <w:p w14:paraId="2761F47F" w14:textId="08DB711A" w:rsidR="006723F6" w:rsidRDefault="006C7863" w:rsidP="00EA1311">
      <w:pPr>
        <w:pStyle w:val="ListParagraph"/>
        <w:numPr>
          <w:ilvl w:val="0"/>
          <w:numId w:val="3"/>
        </w:numPr>
        <w:spacing w:after="0" w:line="240" w:lineRule="auto"/>
        <w:jc w:val="both"/>
        <w:rPr>
          <w:rFonts w:ascii="Calibri" w:hAnsi="Calibri" w:cs="Times New Roman"/>
        </w:rPr>
      </w:pPr>
      <w:r>
        <w:rPr>
          <w:rFonts w:ascii="Calibri" w:hAnsi="Calibri" w:cs="Times New Roman"/>
        </w:rPr>
        <w:t>Establishments</w:t>
      </w:r>
      <w:r w:rsidR="006723F6" w:rsidRPr="00D841E1">
        <w:rPr>
          <w:rFonts w:ascii="Calibri" w:hAnsi="Calibri" w:cs="Times New Roman"/>
        </w:rPr>
        <w:t xml:space="preserve"> rated </w:t>
      </w:r>
      <w:r w:rsidR="006723F6" w:rsidRPr="007A4370">
        <w:rPr>
          <w:rFonts w:ascii="Calibri" w:hAnsi="Calibri" w:cs="Times New Roman"/>
          <w:b/>
          <w:bCs/>
          <w:color w:val="FF0000"/>
        </w:rPr>
        <w:t>red</w:t>
      </w:r>
      <w:r w:rsidR="006723F6" w:rsidRPr="00D841E1">
        <w:rPr>
          <w:rFonts w:ascii="Calibri" w:hAnsi="Calibri" w:cs="Times New Roman"/>
        </w:rPr>
        <w:t xml:space="preserve"> will not be permitted to </w:t>
      </w:r>
      <w:r w:rsidR="006A546C">
        <w:rPr>
          <w:rFonts w:ascii="Calibri" w:hAnsi="Calibri" w:cs="Times New Roman"/>
        </w:rPr>
        <w:t xml:space="preserve">immediately </w:t>
      </w:r>
      <w:r w:rsidR="006723F6" w:rsidRPr="00D841E1">
        <w:rPr>
          <w:rFonts w:ascii="Calibri" w:hAnsi="Calibri" w:cs="Times New Roman"/>
        </w:rPr>
        <w:t>progress</w:t>
      </w:r>
      <w:r w:rsidR="006723F6">
        <w:rPr>
          <w:rFonts w:ascii="Calibri" w:hAnsi="Calibri" w:cs="Times New Roman"/>
        </w:rPr>
        <w:t>.</w:t>
      </w:r>
    </w:p>
    <w:p w14:paraId="73ED630E" w14:textId="7E52B915" w:rsidR="006723F6" w:rsidRDefault="006C7863" w:rsidP="00EA1311">
      <w:pPr>
        <w:pStyle w:val="ListParagraph"/>
        <w:numPr>
          <w:ilvl w:val="0"/>
          <w:numId w:val="3"/>
        </w:numPr>
        <w:spacing w:after="0" w:line="240" w:lineRule="auto"/>
        <w:jc w:val="both"/>
        <w:rPr>
          <w:rFonts w:ascii="Calibri" w:hAnsi="Calibri" w:cs="Times New Roman"/>
        </w:rPr>
      </w:pPr>
      <w:r>
        <w:rPr>
          <w:rFonts w:ascii="Calibri" w:hAnsi="Calibri" w:cs="Times New Roman"/>
        </w:rPr>
        <w:t xml:space="preserve">Establishments </w:t>
      </w:r>
      <w:r w:rsidR="006723F6" w:rsidRPr="0124CF2A">
        <w:rPr>
          <w:rFonts w:ascii="Calibri" w:hAnsi="Calibri" w:cs="Times New Roman"/>
        </w:rPr>
        <w:t>are rated red by default</w:t>
      </w:r>
      <w:r w:rsidR="459BBF04" w:rsidRPr="0124CF2A">
        <w:rPr>
          <w:rFonts w:ascii="Calibri" w:hAnsi="Calibri" w:cs="Times New Roman"/>
        </w:rPr>
        <w:t xml:space="preserve"> when an outbreak is first declared</w:t>
      </w:r>
      <w:r w:rsidR="4D940F2E" w:rsidRPr="0124CF2A">
        <w:rPr>
          <w:rFonts w:ascii="Calibri" w:hAnsi="Calibri" w:cs="Times New Roman"/>
        </w:rPr>
        <w:t>. H</w:t>
      </w:r>
      <w:r w:rsidR="08688826" w:rsidRPr="0124CF2A">
        <w:rPr>
          <w:rFonts w:ascii="Calibri" w:hAnsi="Calibri" w:cs="Times New Roman"/>
        </w:rPr>
        <w:t xml:space="preserve">owever, </w:t>
      </w:r>
      <w:r w:rsidR="006723F6" w:rsidRPr="0124CF2A">
        <w:rPr>
          <w:rFonts w:ascii="Calibri" w:hAnsi="Calibri" w:cs="Times New Roman"/>
        </w:rPr>
        <w:t xml:space="preserve">it is possible for outbreak </w:t>
      </w:r>
      <w:r w:rsidR="00BA61E0">
        <w:rPr>
          <w:rFonts w:ascii="Calibri" w:hAnsi="Calibri" w:cs="Times New Roman"/>
        </w:rPr>
        <w:t>sites</w:t>
      </w:r>
      <w:r w:rsidR="006723F6" w:rsidRPr="0124CF2A">
        <w:rPr>
          <w:rFonts w:ascii="Calibri" w:hAnsi="Calibri" w:cs="Times New Roman"/>
        </w:rPr>
        <w:t xml:space="preserve"> and prisons</w:t>
      </w:r>
      <w:r w:rsidR="00BA61E0">
        <w:rPr>
          <w:rFonts w:ascii="Calibri" w:hAnsi="Calibri" w:cs="Times New Roman"/>
        </w:rPr>
        <w:t xml:space="preserve"> </w:t>
      </w:r>
      <w:r w:rsidR="006A546C">
        <w:rPr>
          <w:rFonts w:ascii="Calibri" w:hAnsi="Calibri" w:cs="Times New Roman"/>
        </w:rPr>
        <w:t>/</w:t>
      </w:r>
      <w:r w:rsidR="00BA61E0">
        <w:rPr>
          <w:rFonts w:ascii="Calibri" w:hAnsi="Calibri" w:cs="Times New Roman"/>
        </w:rPr>
        <w:t xml:space="preserve"> YCS settings</w:t>
      </w:r>
      <w:r w:rsidR="006723F6" w:rsidRPr="0124CF2A">
        <w:rPr>
          <w:rFonts w:ascii="Calibri" w:hAnsi="Calibri" w:cs="Times New Roman"/>
        </w:rPr>
        <w:t xml:space="preserve"> in recovery to have their RAG rating lowered provided the national risk assessment is permissive and Health &amp; Justice public health specialists or multi-agency OCTs are supportive. Therefore, </w:t>
      </w:r>
      <w:r w:rsidR="005801E9">
        <w:rPr>
          <w:rFonts w:ascii="Calibri" w:hAnsi="Calibri" w:cs="Times New Roman"/>
        </w:rPr>
        <w:t xml:space="preserve">the PGD, </w:t>
      </w:r>
      <w:r w:rsidR="006723F6" w:rsidRPr="0124CF2A">
        <w:rPr>
          <w:rFonts w:ascii="Calibri" w:hAnsi="Calibri" w:cs="Times New Roman"/>
        </w:rPr>
        <w:t>Gold and the heatmap panel should be provided with information from the OCT (or public health lead if not in active outbreak) which shows support for regime progression</w:t>
      </w:r>
      <w:r w:rsidR="00591659">
        <w:rPr>
          <w:rFonts w:ascii="Calibri" w:hAnsi="Calibri" w:cs="Times New Roman"/>
        </w:rPr>
        <w:t xml:space="preserve"> by a Red rated site</w:t>
      </w:r>
      <w:r w:rsidR="006723F6" w:rsidRPr="0124CF2A">
        <w:rPr>
          <w:rFonts w:ascii="Calibri" w:hAnsi="Calibri" w:cs="Times New Roman"/>
        </w:rPr>
        <w:t>.  This will allow the heatmap RAG rating to be reviewed</w:t>
      </w:r>
      <w:r w:rsidR="00591659">
        <w:rPr>
          <w:rFonts w:ascii="Calibri" w:hAnsi="Calibri" w:cs="Times New Roman"/>
        </w:rPr>
        <w:t xml:space="preserve"> and likely lowered</w:t>
      </w:r>
      <w:r w:rsidR="006723F6" w:rsidRPr="0124CF2A">
        <w:rPr>
          <w:rFonts w:ascii="Calibri" w:hAnsi="Calibri" w:cs="Times New Roman"/>
        </w:rPr>
        <w:t>.</w:t>
      </w:r>
    </w:p>
    <w:p w14:paraId="74FE15C1" w14:textId="500CE231" w:rsidR="006723F6" w:rsidRPr="00BA61E0" w:rsidRDefault="006723F6" w:rsidP="00EA1311">
      <w:pPr>
        <w:pStyle w:val="ListParagraph"/>
        <w:numPr>
          <w:ilvl w:val="0"/>
          <w:numId w:val="3"/>
        </w:numPr>
        <w:spacing w:after="0" w:line="240" w:lineRule="auto"/>
        <w:jc w:val="both"/>
        <w:rPr>
          <w:rFonts w:ascii="Calibri" w:hAnsi="Calibri" w:cs="Times New Roman"/>
        </w:rPr>
      </w:pPr>
      <w:r>
        <w:rPr>
          <w:rFonts w:ascii="Calibri" w:hAnsi="Calibri" w:cs="Times New Roman"/>
        </w:rPr>
        <w:t xml:space="preserve">Staffing pressures may </w:t>
      </w:r>
      <w:r w:rsidRPr="00BA61E0">
        <w:rPr>
          <w:rFonts w:ascii="Calibri" w:hAnsi="Calibri" w:cs="Times New Roman"/>
        </w:rPr>
        <w:t xml:space="preserve">remain an issue for </w:t>
      </w:r>
      <w:r w:rsidR="00BA61E0" w:rsidRPr="00BA61E0">
        <w:rPr>
          <w:rFonts w:ascii="Calibri" w:hAnsi="Calibri" w:cs="Times New Roman"/>
        </w:rPr>
        <w:t>establishments</w:t>
      </w:r>
      <w:r w:rsidRPr="00BA61E0">
        <w:rPr>
          <w:rFonts w:ascii="Calibri" w:hAnsi="Calibri" w:cs="Times New Roman"/>
        </w:rPr>
        <w:t xml:space="preserve"> and should be managed </w:t>
      </w:r>
      <w:r w:rsidR="001F28A1">
        <w:rPr>
          <w:rFonts w:ascii="Calibri" w:hAnsi="Calibri" w:cs="Times New Roman"/>
        </w:rPr>
        <w:t xml:space="preserve">locally. </w:t>
      </w:r>
    </w:p>
    <w:p w14:paraId="4CB134F0" w14:textId="4572E844" w:rsidR="006723F6" w:rsidRPr="00BA61E0" w:rsidRDefault="006723F6" w:rsidP="00965D5F">
      <w:pPr>
        <w:pStyle w:val="ListParagraph"/>
        <w:numPr>
          <w:ilvl w:val="0"/>
          <w:numId w:val="3"/>
        </w:numPr>
        <w:spacing w:after="0" w:line="240" w:lineRule="auto"/>
        <w:jc w:val="both"/>
        <w:rPr>
          <w:rFonts w:ascii="Calibri" w:hAnsi="Calibri" w:cs="Times New Roman"/>
        </w:rPr>
      </w:pPr>
      <w:r w:rsidRPr="00BA61E0">
        <w:rPr>
          <w:rFonts w:ascii="Calibri" w:hAnsi="Calibri" w:cs="Times New Roman"/>
        </w:rPr>
        <w:t xml:space="preserve">Testing and surveillance plus appropriate safe operating procedures must remain in place. </w:t>
      </w:r>
    </w:p>
    <w:p w14:paraId="09FC807B" w14:textId="22E419FD" w:rsidR="003F6C2B" w:rsidRPr="00BA61E0" w:rsidRDefault="635467B1" w:rsidP="00EA1311">
      <w:pPr>
        <w:numPr>
          <w:ilvl w:val="0"/>
          <w:numId w:val="5"/>
        </w:numPr>
        <w:shd w:val="clear" w:color="auto" w:fill="FFFFFF" w:themeFill="background1"/>
        <w:spacing w:after="0" w:line="240" w:lineRule="auto"/>
        <w:jc w:val="both"/>
        <w:rPr>
          <w:rFonts w:ascii="Calibri" w:eastAsia="Times New Roman" w:hAnsi="Calibri" w:cs="Calibri"/>
          <w:lang w:eastAsia="en-GB"/>
        </w:rPr>
      </w:pPr>
      <w:r w:rsidRPr="00BA61E0">
        <w:rPr>
          <w:rFonts w:ascii="Calibri" w:hAnsi="Calibri" w:cs="Times New Roman"/>
        </w:rPr>
        <w:t xml:space="preserve">Reverse cohorting </w:t>
      </w:r>
      <w:r w:rsidR="00112DF8" w:rsidRPr="00BA61E0">
        <w:rPr>
          <w:rFonts w:ascii="Calibri" w:hAnsi="Calibri" w:cs="Times New Roman"/>
        </w:rPr>
        <w:t xml:space="preserve">controls </w:t>
      </w:r>
      <w:r w:rsidRPr="00BA61E0">
        <w:rPr>
          <w:rFonts w:ascii="Calibri" w:hAnsi="Calibri" w:cs="Times New Roman"/>
        </w:rPr>
        <w:t xml:space="preserve">should be in place, and </w:t>
      </w:r>
      <w:r w:rsidR="00BA61E0" w:rsidRPr="00BA61E0">
        <w:rPr>
          <w:rFonts w:ascii="Calibri" w:hAnsi="Calibri" w:cs="Times New Roman"/>
        </w:rPr>
        <w:t>establishments</w:t>
      </w:r>
      <w:r w:rsidRPr="00BA61E0">
        <w:rPr>
          <w:rFonts w:ascii="Calibri" w:hAnsi="Calibri" w:cs="Times New Roman"/>
        </w:rPr>
        <w:t xml:space="preserve"> wishing to progress should be able to demonstrate good reverse cohorting controls</w:t>
      </w:r>
      <w:r w:rsidR="00112DF8" w:rsidRPr="00BA61E0">
        <w:rPr>
          <w:rFonts w:ascii="Calibri" w:eastAsia="Times New Roman" w:hAnsi="Calibri" w:cs="Calibri"/>
          <w:lang w:eastAsia="en-GB"/>
        </w:rPr>
        <w:t xml:space="preserve"> </w:t>
      </w:r>
      <w:r w:rsidR="65965693" w:rsidRPr="00BA61E0">
        <w:rPr>
          <w:rFonts w:ascii="Calibri" w:eastAsia="Times New Roman" w:hAnsi="Calibri" w:cs="Calibri"/>
          <w:lang w:eastAsia="en-GB"/>
        </w:rPr>
        <w:t xml:space="preserve">in line with the HMPPS Compartmentalisation guidance (V6.1 current). </w:t>
      </w:r>
      <w:r w:rsidR="00112DF8" w:rsidRPr="00BA61E0">
        <w:rPr>
          <w:rFonts w:ascii="Calibri" w:eastAsia="Times New Roman" w:hAnsi="Calibri" w:cs="Calibri"/>
          <w:lang w:eastAsia="en-GB"/>
        </w:rPr>
        <w:t xml:space="preserve">At the time of publication, all sites remain at a minimum of Amber and therefore Reverse Cohorting remains in place for all transfers. Any changes to this guidance will be clearly communicated. </w:t>
      </w:r>
    </w:p>
    <w:p w14:paraId="4352D4C8" w14:textId="71EE739C" w:rsidR="0004777A" w:rsidRPr="008C5A99" w:rsidRDefault="0004777A" w:rsidP="00EA1311">
      <w:pPr>
        <w:spacing w:after="0" w:line="240" w:lineRule="auto"/>
        <w:jc w:val="both"/>
        <w:rPr>
          <w:rFonts w:ascii="Calibri" w:hAnsi="Calibri" w:cs="Times New Roman"/>
        </w:rPr>
      </w:pPr>
    </w:p>
    <w:p w14:paraId="63D61BF5" w14:textId="0A99F702" w:rsidR="0004777A" w:rsidRPr="003F6C2B" w:rsidRDefault="005012A6" w:rsidP="00EA1311">
      <w:pPr>
        <w:spacing w:after="0" w:line="240" w:lineRule="auto"/>
        <w:jc w:val="both"/>
        <w:rPr>
          <w:rFonts w:ascii="Calibri" w:hAnsi="Calibri" w:cs="Times New Roman"/>
          <w:b/>
          <w:bCs/>
        </w:rPr>
      </w:pPr>
      <w:r w:rsidRPr="003F6C2B">
        <w:rPr>
          <w:rFonts w:ascii="Calibri" w:hAnsi="Calibri" w:cs="Times New Roman"/>
          <w:b/>
          <w:bCs/>
        </w:rPr>
        <w:t xml:space="preserve">Testing </w:t>
      </w:r>
      <w:r w:rsidR="008C5A99" w:rsidRPr="003F6C2B">
        <w:rPr>
          <w:rFonts w:ascii="Calibri" w:hAnsi="Calibri" w:cs="Times New Roman"/>
          <w:b/>
          <w:bCs/>
        </w:rPr>
        <w:t>and surveillance</w:t>
      </w:r>
    </w:p>
    <w:p w14:paraId="0E76E171" w14:textId="5A2CD019" w:rsidR="00BF6A7F" w:rsidRPr="008C5A99" w:rsidRDefault="00BF6A7F" w:rsidP="00EA1311">
      <w:pPr>
        <w:spacing w:after="0" w:line="240" w:lineRule="auto"/>
        <w:jc w:val="both"/>
        <w:rPr>
          <w:rFonts w:ascii="Calibri" w:hAnsi="Calibri" w:cs="Times New Roman"/>
        </w:rPr>
      </w:pPr>
    </w:p>
    <w:p w14:paraId="085E2E8F" w14:textId="17288F7E" w:rsidR="00966EE2" w:rsidRDefault="00BF6A7F" w:rsidP="00EA1311">
      <w:pPr>
        <w:spacing w:after="0" w:line="240" w:lineRule="auto"/>
        <w:jc w:val="both"/>
        <w:rPr>
          <w:rFonts w:ascii="Calibri" w:hAnsi="Calibri" w:cs="Times New Roman"/>
        </w:rPr>
      </w:pPr>
      <w:r w:rsidRPr="0124CF2A">
        <w:rPr>
          <w:rFonts w:ascii="Calibri" w:hAnsi="Calibri" w:cs="Times New Roman"/>
        </w:rPr>
        <w:t xml:space="preserve">Testing is an important mitigation </w:t>
      </w:r>
      <w:r w:rsidR="004E0E29" w:rsidRPr="0124CF2A">
        <w:rPr>
          <w:rFonts w:ascii="Calibri" w:hAnsi="Calibri" w:cs="Times New Roman"/>
        </w:rPr>
        <w:t>to reduce the risk of intro</w:t>
      </w:r>
      <w:r w:rsidR="00204782" w:rsidRPr="0124CF2A">
        <w:rPr>
          <w:rFonts w:ascii="Calibri" w:hAnsi="Calibri" w:cs="Times New Roman"/>
        </w:rPr>
        <w:t>duction</w:t>
      </w:r>
      <w:r w:rsidR="004E0E29" w:rsidRPr="0124CF2A">
        <w:rPr>
          <w:rFonts w:ascii="Calibri" w:hAnsi="Calibri" w:cs="Times New Roman"/>
        </w:rPr>
        <w:t xml:space="preserve"> and transmission of infection</w:t>
      </w:r>
      <w:r w:rsidRPr="0124CF2A">
        <w:rPr>
          <w:rFonts w:ascii="Calibri" w:hAnsi="Calibri" w:cs="Times New Roman"/>
        </w:rPr>
        <w:t xml:space="preserve">. </w:t>
      </w:r>
      <w:r w:rsidR="004C7CC3" w:rsidRPr="0124CF2A">
        <w:rPr>
          <w:rFonts w:ascii="Calibri" w:hAnsi="Calibri" w:cs="Times New Roman"/>
        </w:rPr>
        <w:t xml:space="preserve">All </w:t>
      </w:r>
      <w:r w:rsidR="00D120DC">
        <w:rPr>
          <w:rFonts w:ascii="Calibri" w:hAnsi="Calibri" w:cs="Times New Roman"/>
        </w:rPr>
        <w:t>sites</w:t>
      </w:r>
      <w:r w:rsidRPr="0124CF2A">
        <w:rPr>
          <w:rFonts w:ascii="Calibri" w:hAnsi="Calibri" w:cs="Times New Roman"/>
        </w:rPr>
        <w:t xml:space="preserve"> have successfully </w:t>
      </w:r>
      <w:r w:rsidR="004C7CC3" w:rsidRPr="0124CF2A">
        <w:rPr>
          <w:rFonts w:ascii="Calibri" w:hAnsi="Calibri" w:cs="Times New Roman"/>
        </w:rPr>
        <w:t xml:space="preserve">implemented </w:t>
      </w:r>
      <w:r w:rsidRPr="0124CF2A">
        <w:rPr>
          <w:rFonts w:ascii="Calibri" w:hAnsi="Calibri" w:cs="Times New Roman"/>
        </w:rPr>
        <w:t>mandatory testing,</w:t>
      </w:r>
      <w:r w:rsidR="004C7CC3" w:rsidRPr="0124CF2A">
        <w:rPr>
          <w:rFonts w:ascii="Calibri" w:hAnsi="Calibri" w:cs="Times New Roman"/>
        </w:rPr>
        <w:t xml:space="preserve"> and the </w:t>
      </w:r>
      <w:r w:rsidR="00591659">
        <w:rPr>
          <w:rFonts w:ascii="Calibri" w:hAnsi="Calibri" w:cs="Times New Roman"/>
        </w:rPr>
        <w:t xml:space="preserve">overwhelming </w:t>
      </w:r>
      <w:r w:rsidR="004C7CC3" w:rsidRPr="0124CF2A">
        <w:rPr>
          <w:rFonts w:ascii="Calibri" w:hAnsi="Calibri" w:cs="Times New Roman"/>
        </w:rPr>
        <w:t>majority daily testing</w:t>
      </w:r>
      <w:r w:rsidR="00040D1A" w:rsidRPr="0124CF2A">
        <w:rPr>
          <w:rFonts w:ascii="Calibri" w:hAnsi="Calibri" w:cs="Times New Roman"/>
        </w:rPr>
        <w:t xml:space="preserve">. </w:t>
      </w:r>
      <w:r w:rsidR="00325935" w:rsidRPr="0124CF2A">
        <w:rPr>
          <w:rFonts w:ascii="Calibri" w:hAnsi="Calibri" w:cs="Times New Roman"/>
        </w:rPr>
        <w:t xml:space="preserve">Installation of Wastewater-based Surveillance is </w:t>
      </w:r>
      <w:r w:rsidR="00F6126B" w:rsidRPr="0124CF2A">
        <w:rPr>
          <w:rFonts w:ascii="Calibri" w:hAnsi="Calibri" w:cs="Times New Roman"/>
        </w:rPr>
        <w:t xml:space="preserve">also </w:t>
      </w:r>
      <w:r w:rsidR="00325935" w:rsidRPr="0124CF2A">
        <w:rPr>
          <w:rFonts w:ascii="Calibri" w:hAnsi="Calibri" w:cs="Times New Roman"/>
        </w:rPr>
        <w:t>ongoing</w:t>
      </w:r>
      <w:r w:rsidR="00031562" w:rsidRPr="0124CF2A">
        <w:rPr>
          <w:rFonts w:ascii="Calibri" w:hAnsi="Calibri" w:cs="Times New Roman"/>
        </w:rPr>
        <w:t xml:space="preserve"> </w:t>
      </w:r>
      <w:r w:rsidR="00F9798A" w:rsidRPr="0124CF2A">
        <w:rPr>
          <w:rFonts w:ascii="Calibri" w:hAnsi="Calibri" w:cs="Times New Roman"/>
        </w:rPr>
        <w:t xml:space="preserve">across the estate </w:t>
      </w:r>
      <w:r w:rsidR="00031562" w:rsidRPr="0124CF2A">
        <w:rPr>
          <w:rFonts w:ascii="Calibri" w:hAnsi="Calibri" w:cs="Times New Roman"/>
        </w:rPr>
        <w:t>and provides an additional</w:t>
      </w:r>
      <w:r w:rsidR="00DE1DCD" w:rsidRPr="0124CF2A">
        <w:rPr>
          <w:rFonts w:ascii="Calibri" w:hAnsi="Calibri" w:cs="Times New Roman"/>
        </w:rPr>
        <w:t xml:space="preserve"> means of understanding</w:t>
      </w:r>
      <w:r w:rsidR="00432055" w:rsidRPr="0124CF2A">
        <w:rPr>
          <w:rFonts w:ascii="Calibri" w:hAnsi="Calibri" w:cs="Times New Roman"/>
        </w:rPr>
        <w:t xml:space="preserve"> infection levels </w:t>
      </w:r>
      <w:r w:rsidR="00CD0307" w:rsidRPr="0124CF2A">
        <w:rPr>
          <w:rFonts w:ascii="Calibri" w:hAnsi="Calibri" w:cs="Times New Roman"/>
        </w:rPr>
        <w:t xml:space="preserve">in the prisoner population. </w:t>
      </w:r>
      <w:r w:rsidR="006C1DD7" w:rsidRPr="0124CF2A">
        <w:rPr>
          <w:rFonts w:ascii="Calibri" w:hAnsi="Calibri" w:cs="Times New Roman"/>
        </w:rPr>
        <w:t>Testing has enabled</w:t>
      </w:r>
      <w:r w:rsidR="00654B5D" w:rsidRPr="0124CF2A">
        <w:rPr>
          <w:rFonts w:ascii="Calibri" w:hAnsi="Calibri" w:cs="Times New Roman"/>
        </w:rPr>
        <w:t xml:space="preserve"> us to identify and isolat</w:t>
      </w:r>
      <w:r w:rsidR="008A323E" w:rsidRPr="0124CF2A">
        <w:rPr>
          <w:rFonts w:ascii="Calibri" w:hAnsi="Calibri" w:cs="Times New Roman"/>
        </w:rPr>
        <w:t>e</w:t>
      </w:r>
      <w:r w:rsidR="00654B5D" w:rsidRPr="0124CF2A">
        <w:rPr>
          <w:rFonts w:ascii="Calibri" w:hAnsi="Calibri" w:cs="Times New Roman"/>
        </w:rPr>
        <w:t xml:space="preserve"> cases at the earliest opportunity, thereby</w:t>
      </w:r>
      <w:r w:rsidRPr="0124CF2A">
        <w:rPr>
          <w:rFonts w:ascii="Calibri" w:hAnsi="Calibri" w:cs="Times New Roman"/>
        </w:rPr>
        <w:t xml:space="preserve"> limiting the risk of Omicron over the last </w:t>
      </w:r>
      <w:r w:rsidR="00B91D5E" w:rsidRPr="0124CF2A">
        <w:rPr>
          <w:rFonts w:ascii="Calibri" w:hAnsi="Calibri" w:cs="Times New Roman"/>
        </w:rPr>
        <w:t>month</w:t>
      </w:r>
      <w:r w:rsidR="009657CA" w:rsidRPr="0124CF2A">
        <w:rPr>
          <w:rFonts w:ascii="Calibri" w:hAnsi="Calibri" w:cs="Times New Roman"/>
        </w:rPr>
        <w:t xml:space="preserve"> and will continue to be a vital</w:t>
      </w:r>
      <w:r w:rsidR="002D4F1E" w:rsidRPr="0124CF2A">
        <w:rPr>
          <w:rFonts w:ascii="Calibri" w:hAnsi="Calibri" w:cs="Times New Roman"/>
        </w:rPr>
        <w:t xml:space="preserve"> </w:t>
      </w:r>
      <w:r w:rsidR="00F63E72" w:rsidRPr="0124CF2A">
        <w:rPr>
          <w:rFonts w:ascii="Calibri" w:hAnsi="Calibri" w:cs="Times New Roman"/>
        </w:rPr>
        <w:t>means of control in the weeks to come.</w:t>
      </w:r>
    </w:p>
    <w:p w14:paraId="72236FD9" w14:textId="77777777" w:rsidR="00966EE2" w:rsidRDefault="00966EE2" w:rsidP="00EA1311">
      <w:pPr>
        <w:spacing w:after="0" w:line="240" w:lineRule="auto"/>
        <w:jc w:val="both"/>
        <w:rPr>
          <w:rFonts w:ascii="Calibri" w:hAnsi="Calibri" w:cs="Times New Roman"/>
        </w:rPr>
      </w:pPr>
    </w:p>
    <w:p w14:paraId="64863853" w14:textId="69482229" w:rsidR="0124CF2A" w:rsidRDefault="00B91D5E" w:rsidP="00EA1311">
      <w:pPr>
        <w:spacing w:after="0" w:line="240" w:lineRule="auto"/>
        <w:jc w:val="both"/>
        <w:rPr>
          <w:rFonts w:ascii="Calibri" w:hAnsi="Calibri" w:cs="Times New Roman"/>
        </w:rPr>
      </w:pPr>
      <w:r w:rsidRPr="008C5A99">
        <w:rPr>
          <w:rFonts w:ascii="Calibri" w:hAnsi="Calibri" w:cs="Times New Roman"/>
        </w:rPr>
        <w:t>Testing must continue in prisons</w:t>
      </w:r>
      <w:r w:rsidR="00D120DC">
        <w:rPr>
          <w:rFonts w:ascii="Calibri" w:hAnsi="Calibri" w:cs="Times New Roman"/>
        </w:rPr>
        <w:t xml:space="preserve"> and YCS settings</w:t>
      </w:r>
      <w:r w:rsidRPr="008C5A99">
        <w:rPr>
          <w:rFonts w:ascii="Calibri" w:hAnsi="Calibri" w:cs="Times New Roman"/>
        </w:rPr>
        <w:t xml:space="preserve"> – for both staff</w:t>
      </w:r>
      <w:r w:rsidR="00D120DC">
        <w:rPr>
          <w:rFonts w:ascii="Calibri" w:hAnsi="Calibri" w:cs="Times New Roman"/>
        </w:rPr>
        <w:t>, prisoners, children and young people</w:t>
      </w:r>
      <w:r w:rsidRPr="008C5A99">
        <w:rPr>
          <w:rFonts w:ascii="Calibri" w:hAnsi="Calibri" w:cs="Times New Roman"/>
        </w:rPr>
        <w:t xml:space="preserve">. </w:t>
      </w:r>
      <w:r w:rsidR="002F0E16">
        <w:rPr>
          <w:rFonts w:ascii="Calibri" w:hAnsi="Calibri" w:cs="Times New Roman"/>
        </w:rPr>
        <w:t>Whilst</w:t>
      </w:r>
      <w:r w:rsidRPr="008C5A99">
        <w:rPr>
          <w:rFonts w:ascii="Calibri" w:hAnsi="Calibri" w:cs="Times New Roman"/>
        </w:rPr>
        <w:t xml:space="preserve"> the risk </w:t>
      </w:r>
      <w:r w:rsidR="00896A1C">
        <w:rPr>
          <w:rFonts w:ascii="Calibri" w:hAnsi="Calibri" w:cs="Times New Roman"/>
        </w:rPr>
        <w:t xml:space="preserve">is decreasing to </w:t>
      </w:r>
      <w:r w:rsidR="002F0E16">
        <w:rPr>
          <w:rFonts w:ascii="Calibri" w:hAnsi="Calibri" w:cs="Times New Roman"/>
        </w:rPr>
        <w:t>facilitate regime progression</w:t>
      </w:r>
      <w:r w:rsidR="00954D7D" w:rsidRPr="008C5A99">
        <w:rPr>
          <w:rFonts w:ascii="Calibri" w:hAnsi="Calibri" w:cs="Times New Roman"/>
        </w:rPr>
        <w:t xml:space="preserve"> to Stage 2</w:t>
      </w:r>
      <w:r w:rsidR="008B5381" w:rsidRPr="008C5A99">
        <w:rPr>
          <w:rFonts w:ascii="Calibri" w:hAnsi="Calibri" w:cs="Times New Roman"/>
        </w:rPr>
        <w:t>,</w:t>
      </w:r>
      <w:r w:rsidR="007A4370" w:rsidRPr="008C5A99">
        <w:rPr>
          <w:rFonts w:ascii="Calibri" w:hAnsi="Calibri" w:cs="Times New Roman"/>
        </w:rPr>
        <w:t xml:space="preserve"> </w:t>
      </w:r>
      <w:r w:rsidR="00493388" w:rsidRPr="008C5A99">
        <w:rPr>
          <w:rFonts w:ascii="Calibri" w:hAnsi="Calibri" w:cs="Times New Roman"/>
        </w:rPr>
        <w:t>daily and mandatory testing</w:t>
      </w:r>
      <w:r w:rsidR="004C7CC3" w:rsidRPr="008C5A99">
        <w:rPr>
          <w:rFonts w:ascii="Calibri" w:hAnsi="Calibri" w:cs="Times New Roman"/>
        </w:rPr>
        <w:t xml:space="preserve"> will continue to be </w:t>
      </w:r>
      <w:r w:rsidR="007C3982" w:rsidRPr="008C5A99">
        <w:rPr>
          <w:rFonts w:ascii="Calibri" w:hAnsi="Calibri" w:cs="Times New Roman"/>
        </w:rPr>
        <w:t>subjected to fortnightly review, with a</w:t>
      </w:r>
      <w:r w:rsidR="007A4370" w:rsidRPr="008C5A99">
        <w:rPr>
          <w:rFonts w:ascii="Calibri" w:hAnsi="Calibri" w:cs="Times New Roman"/>
        </w:rPr>
        <w:t xml:space="preserve"> clear</w:t>
      </w:r>
      <w:r w:rsidR="007C3982" w:rsidRPr="008C5A99">
        <w:rPr>
          <w:rFonts w:ascii="Calibri" w:hAnsi="Calibri" w:cs="Times New Roman"/>
        </w:rPr>
        <w:t xml:space="preserve"> acknowledgement that increased testing has a resource impact</w:t>
      </w:r>
      <w:r w:rsidR="007A4370" w:rsidRPr="008C5A99">
        <w:rPr>
          <w:rFonts w:ascii="Calibri" w:hAnsi="Calibri" w:cs="Times New Roman"/>
        </w:rPr>
        <w:t xml:space="preserve"> and </w:t>
      </w:r>
      <w:r w:rsidR="008B5381" w:rsidRPr="008C5A99">
        <w:rPr>
          <w:rFonts w:ascii="Calibri" w:hAnsi="Calibri" w:cs="Times New Roman"/>
        </w:rPr>
        <w:t>ha</w:t>
      </w:r>
      <w:r w:rsidR="007A4370" w:rsidRPr="008C5A99">
        <w:rPr>
          <w:rFonts w:ascii="Calibri" w:hAnsi="Calibri" w:cs="Times New Roman"/>
        </w:rPr>
        <w:t>s</w:t>
      </w:r>
      <w:r w:rsidR="008B5381" w:rsidRPr="008C5A99">
        <w:rPr>
          <w:rFonts w:ascii="Calibri" w:hAnsi="Calibri" w:cs="Times New Roman"/>
        </w:rPr>
        <w:t xml:space="preserve"> been</w:t>
      </w:r>
      <w:r w:rsidR="007A4370" w:rsidRPr="008C5A99">
        <w:rPr>
          <w:rFonts w:ascii="Calibri" w:hAnsi="Calibri" w:cs="Times New Roman"/>
        </w:rPr>
        <w:t xml:space="preserve"> implemented as a temporary, emergency measure.</w:t>
      </w:r>
    </w:p>
    <w:p w14:paraId="4548C5F6" w14:textId="77777777" w:rsidR="006723F6" w:rsidRPr="00F00C0F" w:rsidRDefault="006723F6" w:rsidP="00EA1311">
      <w:pPr>
        <w:spacing w:after="0" w:line="240" w:lineRule="auto"/>
        <w:jc w:val="both"/>
        <w:rPr>
          <w:rFonts w:cstheme="minorHAnsi"/>
          <w:highlight w:val="yellow"/>
        </w:rPr>
      </w:pPr>
    </w:p>
    <w:p w14:paraId="4B4C5CEB" w14:textId="77A745A4" w:rsidR="00255051" w:rsidRPr="00E8772F" w:rsidRDefault="006723F6" w:rsidP="00EA1311">
      <w:pPr>
        <w:jc w:val="both"/>
      </w:pPr>
      <w:r>
        <w:t xml:space="preserve">If you have any queries, please </w:t>
      </w:r>
      <w:r w:rsidR="008C5A99">
        <w:t xml:space="preserve">discuss with your PGD, or </w:t>
      </w:r>
      <w:r>
        <w:t xml:space="preserve">contact </w:t>
      </w:r>
      <w:hyperlink r:id="rId15" w:history="1">
        <w:r w:rsidRPr="00A56A8C">
          <w:rPr>
            <w:rStyle w:val="Hyperlink"/>
          </w:rPr>
          <w:t>COVID19Ops&amp;Guidance1@justice.gov.uk</w:t>
        </w:r>
      </w:hyperlink>
    </w:p>
    <w:p w14:paraId="177E71EB" w14:textId="77777777" w:rsidR="00D70990" w:rsidRDefault="00D70990" w:rsidP="00EA1311">
      <w:pPr>
        <w:jc w:val="both"/>
        <w:rPr>
          <w:b/>
          <w:bCs/>
        </w:rPr>
      </w:pPr>
    </w:p>
    <w:p w14:paraId="17E40BF5" w14:textId="66FD1E40" w:rsidR="006723F6" w:rsidRPr="00255051" w:rsidRDefault="63DD5450" w:rsidP="00EA1311">
      <w:pPr>
        <w:jc w:val="both"/>
        <w:rPr>
          <w:b/>
          <w:bCs/>
        </w:rPr>
      </w:pPr>
      <w:r w:rsidRPr="00255051">
        <w:rPr>
          <w:b/>
          <w:bCs/>
        </w:rPr>
        <w:lastRenderedPageBreak/>
        <w:t>Annex A</w:t>
      </w:r>
    </w:p>
    <w:bookmarkStart w:id="0" w:name="_GoBack"/>
    <w:bookmarkStart w:id="1" w:name="_MON_1705304665"/>
    <w:bookmarkEnd w:id="1"/>
    <w:p w14:paraId="55D02A8D" w14:textId="1CD01DE0" w:rsidR="00E260E8" w:rsidRPr="00255051" w:rsidRDefault="0088602F" w:rsidP="00EA1311">
      <w:pPr>
        <w:jc w:val="both"/>
        <w:rPr>
          <w:b/>
          <w:bCs/>
        </w:rPr>
      </w:pPr>
      <w:r>
        <w:object w:dxaOrig="1504" w:dyaOrig="982" w14:anchorId="25756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49pt" o:ole="">
            <v:imagedata r:id="rId16" o:title=""/>
          </v:shape>
          <o:OLEObject Type="Embed" ProgID="Word.Document.12" ShapeID="_x0000_i1027" DrawAspect="Icon" ObjectID="_1705343994" r:id="rId17">
            <o:FieldCodes>\s</o:FieldCodes>
          </o:OLEObject>
        </w:object>
      </w:r>
      <w:bookmarkEnd w:id="0"/>
    </w:p>
    <w:sectPr w:rsidR="00E260E8" w:rsidRPr="0025505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7388" w14:textId="77777777" w:rsidR="00A50566" w:rsidRDefault="00A50566">
      <w:pPr>
        <w:spacing w:after="0" w:line="240" w:lineRule="auto"/>
      </w:pPr>
      <w:r>
        <w:separator/>
      </w:r>
    </w:p>
  </w:endnote>
  <w:endnote w:type="continuationSeparator" w:id="0">
    <w:p w14:paraId="51C570BE" w14:textId="77777777" w:rsidR="00A50566" w:rsidRDefault="00A50566">
      <w:pPr>
        <w:spacing w:after="0" w:line="240" w:lineRule="auto"/>
      </w:pPr>
      <w:r>
        <w:continuationSeparator/>
      </w:r>
    </w:p>
  </w:endnote>
  <w:endnote w:type="continuationNotice" w:id="1">
    <w:p w14:paraId="259E2C9A" w14:textId="77777777" w:rsidR="00A50566" w:rsidRDefault="00A50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C1B9" w14:textId="77777777" w:rsidR="00E260E8" w:rsidRDefault="00E26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7612" w14:textId="77777777" w:rsidR="00E260E8" w:rsidRDefault="00E26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2D3B" w14:textId="77777777" w:rsidR="00E260E8" w:rsidRDefault="00E2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DE567" w14:textId="77777777" w:rsidR="00A50566" w:rsidRDefault="00A50566">
      <w:pPr>
        <w:spacing w:after="0" w:line="240" w:lineRule="auto"/>
      </w:pPr>
      <w:r>
        <w:separator/>
      </w:r>
    </w:p>
  </w:footnote>
  <w:footnote w:type="continuationSeparator" w:id="0">
    <w:p w14:paraId="4E064F26" w14:textId="77777777" w:rsidR="00A50566" w:rsidRDefault="00A50566">
      <w:pPr>
        <w:spacing w:after="0" w:line="240" w:lineRule="auto"/>
      </w:pPr>
      <w:r>
        <w:continuationSeparator/>
      </w:r>
    </w:p>
  </w:footnote>
  <w:footnote w:type="continuationNotice" w:id="1">
    <w:p w14:paraId="0F0D0322" w14:textId="77777777" w:rsidR="00A50566" w:rsidRDefault="00A505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8129" w14:textId="77777777" w:rsidR="00E260E8" w:rsidRDefault="00E26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2E6" w14:textId="77777777" w:rsidR="00E260E8" w:rsidRDefault="00E26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8AE6" w14:textId="77777777" w:rsidR="00E260E8" w:rsidRDefault="00E26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D0C"/>
    <w:multiLevelType w:val="hybridMultilevel"/>
    <w:tmpl w:val="C09EECA8"/>
    <w:lvl w:ilvl="0" w:tplc="A096422C">
      <w:start w:val="1"/>
      <w:numFmt w:val="bullet"/>
      <w:lvlText w:val=""/>
      <w:lvlJc w:val="left"/>
      <w:pPr>
        <w:ind w:left="720" w:hanging="360"/>
      </w:pPr>
      <w:rPr>
        <w:rFonts w:ascii="Symbol" w:hAnsi="Symbol" w:hint="default"/>
      </w:rPr>
    </w:lvl>
    <w:lvl w:ilvl="1" w:tplc="1046CDDE">
      <w:start w:val="1"/>
      <w:numFmt w:val="bullet"/>
      <w:lvlText w:val="o"/>
      <w:lvlJc w:val="left"/>
      <w:pPr>
        <w:ind w:left="1440" w:hanging="360"/>
      </w:pPr>
      <w:rPr>
        <w:rFonts w:ascii="Courier New" w:hAnsi="Courier New" w:hint="default"/>
      </w:rPr>
    </w:lvl>
    <w:lvl w:ilvl="2" w:tplc="3668919C">
      <w:start w:val="1"/>
      <w:numFmt w:val="bullet"/>
      <w:lvlText w:val=""/>
      <w:lvlJc w:val="left"/>
      <w:pPr>
        <w:ind w:left="2160" w:hanging="360"/>
      </w:pPr>
      <w:rPr>
        <w:rFonts w:ascii="Wingdings" w:hAnsi="Wingdings" w:hint="default"/>
      </w:rPr>
    </w:lvl>
    <w:lvl w:ilvl="3" w:tplc="AF54D33C">
      <w:start w:val="1"/>
      <w:numFmt w:val="bullet"/>
      <w:lvlText w:val=""/>
      <w:lvlJc w:val="left"/>
      <w:pPr>
        <w:ind w:left="2880" w:hanging="360"/>
      </w:pPr>
      <w:rPr>
        <w:rFonts w:ascii="Symbol" w:hAnsi="Symbol" w:hint="default"/>
      </w:rPr>
    </w:lvl>
    <w:lvl w:ilvl="4" w:tplc="1CD46A3E">
      <w:start w:val="1"/>
      <w:numFmt w:val="bullet"/>
      <w:lvlText w:val="o"/>
      <w:lvlJc w:val="left"/>
      <w:pPr>
        <w:ind w:left="3600" w:hanging="360"/>
      </w:pPr>
      <w:rPr>
        <w:rFonts w:ascii="Courier New" w:hAnsi="Courier New" w:hint="default"/>
      </w:rPr>
    </w:lvl>
    <w:lvl w:ilvl="5" w:tplc="40405822">
      <w:start w:val="1"/>
      <w:numFmt w:val="bullet"/>
      <w:lvlText w:val=""/>
      <w:lvlJc w:val="left"/>
      <w:pPr>
        <w:ind w:left="4320" w:hanging="360"/>
      </w:pPr>
      <w:rPr>
        <w:rFonts w:ascii="Wingdings" w:hAnsi="Wingdings" w:hint="default"/>
      </w:rPr>
    </w:lvl>
    <w:lvl w:ilvl="6" w:tplc="657CC412">
      <w:start w:val="1"/>
      <w:numFmt w:val="bullet"/>
      <w:lvlText w:val=""/>
      <w:lvlJc w:val="left"/>
      <w:pPr>
        <w:ind w:left="5040" w:hanging="360"/>
      </w:pPr>
      <w:rPr>
        <w:rFonts w:ascii="Symbol" w:hAnsi="Symbol" w:hint="default"/>
      </w:rPr>
    </w:lvl>
    <w:lvl w:ilvl="7" w:tplc="79F6553C">
      <w:start w:val="1"/>
      <w:numFmt w:val="bullet"/>
      <w:lvlText w:val="o"/>
      <w:lvlJc w:val="left"/>
      <w:pPr>
        <w:ind w:left="5760" w:hanging="360"/>
      </w:pPr>
      <w:rPr>
        <w:rFonts w:ascii="Courier New" w:hAnsi="Courier New" w:hint="default"/>
      </w:rPr>
    </w:lvl>
    <w:lvl w:ilvl="8" w:tplc="3B0481B4">
      <w:start w:val="1"/>
      <w:numFmt w:val="bullet"/>
      <w:lvlText w:val=""/>
      <w:lvlJc w:val="left"/>
      <w:pPr>
        <w:ind w:left="6480" w:hanging="360"/>
      </w:pPr>
      <w:rPr>
        <w:rFonts w:ascii="Wingdings" w:hAnsi="Wingdings" w:hint="default"/>
      </w:rPr>
    </w:lvl>
  </w:abstractNum>
  <w:abstractNum w:abstractNumId="1" w15:restartNumberingAfterBreak="0">
    <w:nsid w:val="11E07045"/>
    <w:multiLevelType w:val="hybridMultilevel"/>
    <w:tmpl w:val="4032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211ED"/>
    <w:multiLevelType w:val="hybridMultilevel"/>
    <w:tmpl w:val="D16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30738"/>
    <w:multiLevelType w:val="hybridMultilevel"/>
    <w:tmpl w:val="279A9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B96AC5"/>
    <w:multiLevelType w:val="multilevel"/>
    <w:tmpl w:val="93C8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F6"/>
    <w:rsid w:val="0001627C"/>
    <w:rsid w:val="000221F6"/>
    <w:rsid w:val="00031562"/>
    <w:rsid w:val="00037095"/>
    <w:rsid w:val="00040D1A"/>
    <w:rsid w:val="000411AB"/>
    <w:rsid w:val="00041F4B"/>
    <w:rsid w:val="000451DE"/>
    <w:rsid w:val="00046F77"/>
    <w:rsid w:val="0004777A"/>
    <w:rsid w:val="00050A20"/>
    <w:rsid w:val="0005330D"/>
    <w:rsid w:val="000542C0"/>
    <w:rsid w:val="000610AA"/>
    <w:rsid w:val="00062543"/>
    <w:rsid w:val="00070A33"/>
    <w:rsid w:val="00074FFF"/>
    <w:rsid w:val="000753A0"/>
    <w:rsid w:val="000770EE"/>
    <w:rsid w:val="000848D1"/>
    <w:rsid w:val="000D01E3"/>
    <w:rsid w:val="000D1EB9"/>
    <w:rsid w:val="000D3094"/>
    <w:rsid w:val="000D4C41"/>
    <w:rsid w:val="000E239A"/>
    <w:rsid w:val="000F2671"/>
    <w:rsid w:val="00102FAF"/>
    <w:rsid w:val="00112DF8"/>
    <w:rsid w:val="00123380"/>
    <w:rsid w:val="0016296D"/>
    <w:rsid w:val="00162E7F"/>
    <w:rsid w:val="001634B9"/>
    <w:rsid w:val="00192159"/>
    <w:rsid w:val="0019504D"/>
    <w:rsid w:val="00195702"/>
    <w:rsid w:val="001A0BA1"/>
    <w:rsid w:val="001A557B"/>
    <w:rsid w:val="001C2EA4"/>
    <w:rsid w:val="001D2275"/>
    <w:rsid w:val="001D3109"/>
    <w:rsid w:val="001D71E4"/>
    <w:rsid w:val="001E3EC6"/>
    <w:rsid w:val="001F0544"/>
    <w:rsid w:val="001F13BB"/>
    <w:rsid w:val="001F1727"/>
    <w:rsid w:val="001F1778"/>
    <w:rsid w:val="001F28A1"/>
    <w:rsid w:val="00204106"/>
    <w:rsid w:val="00204782"/>
    <w:rsid w:val="002138D0"/>
    <w:rsid w:val="00217532"/>
    <w:rsid w:val="002256D7"/>
    <w:rsid w:val="00237AF4"/>
    <w:rsid w:val="00244CD7"/>
    <w:rsid w:val="0025197A"/>
    <w:rsid w:val="00255051"/>
    <w:rsid w:val="00262CDD"/>
    <w:rsid w:val="00271BB2"/>
    <w:rsid w:val="00276E6E"/>
    <w:rsid w:val="002D16C6"/>
    <w:rsid w:val="002D4F1E"/>
    <w:rsid w:val="002E11D8"/>
    <w:rsid w:val="002E2A25"/>
    <w:rsid w:val="002E3603"/>
    <w:rsid w:val="002F0E16"/>
    <w:rsid w:val="003022C1"/>
    <w:rsid w:val="003066C5"/>
    <w:rsid w:val="00321F80"/>
    <w:rsid w:val="00325935"/>
    <w:rsid w:val="00337285"/>
    <w:rsid w:val="00340573"/>
    <w:rsid w:val="00347CE9"/>
    <w:rsid w:val="00350465"/>
    <w:rsid w:val="00355259"/>
    <w:rsid w:val="00365730"/>
    <w:rsid w:val="0038738B"/>
    <w:rsid w:val="003949DB"/>
    <w:rsid w:val="003E2809"/>
    <w:rsid w:val="003E5B93"/>
    <w:rsid w:val="003E5EF3"/>
    <w:rsid w:val="003F0CE2"/>
    <w:rsid w:val="003F1F4C"/>
    <w:rsid w:val="003F6C2B"/>
    <w:rsid w:val="00401D12"/>
    <w:rsid w:val="004020FD"/>
    <w:rsid w:val="004144A0"/>
    <w:rsid w:val="0042413B"/>
    <w:rsid w:val="00427FE5"/>
    <w:rsid w:val="00432055"/>
    <w:rsid w:val="00442EFF"/>
    <w:rsid w:val="00457824"/>
    <w:rsid w:val="00461DE7"/>
    <w:rsid w:val="00465684"/>
    <w:rsid w:val="004918FA"/>
    <w:rsid w:val="00493388"/>
    <w:rsid w:val="0049792B"/>
    <w:rsid w:val="004A5B32"/>
    <w:rsid w:val="004A69E8"/>
    <w:rsid w:val="004C7CC3"/>
    <w:rsid w:val="004D2976"/>
    <w:rsid w:val="004E0E29"/>
    <w:rsid w:val="004E3930"/>
    <w:rsid w:val="004E543A"/>
    <w:rsid w:val="004E5D5B"/>
    <w:rsid w:val="004F60AF"/>
    <w:rsid w:val="005012A6"/>
    <w:rsid w:val="00501D1D"/>
    <w:rsid w:val="00513E34"/>
    <w:rsid w:val="005200D9"/>
    <w:rsid w:val="005215B1"/>
    <w:rsid w:val="0052568B"/>
    <w:rsid w:val="00525EC4"/>
    <w:rsid w:val="00533FDC"/>
    <w:rsid w:val="00535270"/>
    <w:rsid w:val="005516DE"/>
    <w:rsid w:val="005627F0"/>
    <w:rsid w:val="005730E5"/>
    <w:rsid w:val="005801E9"/>
    <w:rsid w:val="005811D2"/>
    <w:rsid w:val="0058262F"/>
    <w:rsid w:val="00584E27"/>
    <w:rsid w:val="005862A7"/>
    <w:rsid w:val="00591659"/>
    <w:rsid w:val="005A2B04"/>
    <w:rsid w:val="005C33B0"/>
    <w:rsid w:val="005D15F8"/>
    <w:rsid w:val="005F2E59"/>
    <w:rsid w:val="005F45F5"/>
    <w:rsid w:val="006232A4"/>
    <w:rsid w:val="00624FE0"/>
    <w:rsid w:val="006315E4"/>
    <w:rsid w:val="00642C4D"/>
    <w:rsid w:val="00654B5D"/>
    <w:rsid w:val="00656558"/>
    <w:rsid w:val="00662EC9"/>
    <w:rsid w:val="00664540"/>
    <w:rsid w:val="006723F6"/>
    <w:rsid w:val="00676658"/>
    <w:rsid w:val="00684EB2"/>
    <w:rsid w:val="006A546C"/>
    <w:rsid w:val="006B1A6F"/>
    <w:rsid w:val="006B712C"/>
    <w:rsid w:val="006C1DD7"/>
    <w:rsid w:val="006C7863"/>
    <w:rsid w:val="006C7E02"/>
    <w:rsid w:val="006D3876"/>
    <w:rsid w:val="006E4C87"/>
    <w:rsid w:val="006E71DA"/>
    <w:rsid w:val="006F366C"/>
    <w:rsid w:val="006F4D9D"/>
    <w:rsid w:val="00714638"/>
    <w:rsid w:val="00722DE8"/>
    <w:rsid w:val="0072680C"/>
    <w:rsid w:val="00731647"/>
    <w:rsid w:val="00732C94"/>
    <w:rsid w:val="007353EC"/>
    <w:rsid w:val="00756C72"/>
    <w:rsid w:val="007626A6"/>
    <w:rsid w:val="00766A39"/>
    <w:rsid w:val="00776A3B"/>
    <w:rsid w:val="0078058A"/>
    <w:rsid w:val="0078180E"/>
    <w:rsid w:val="00785A98"/>
    <w:rsid w:val="007A2225"/>
    <w:rsid w:val="007A4370"/>
    <w:rsid w:val="007B03CB"/>
    <w:rsid w:val="007B4F6B"/>
    <w:rsid w:val="007C3982"/>
    <w:rsid w:val="007DE216"/>
    <w:rsid w:val="007E2C89"/>
    <w:rsid w:val="007E3A61"/>
    <w:rsid w:val="007E58B3"/>
    <w:rsid w:val="007E5B74"/>
    <w:rsid w:val="00814EC7"/>
    <w:rsid w:val="00825C4B"/>
    <w:rsid w:val="0086077B"/>
    <w:rsid w:val="00875562"/>
    <w:rsid w:val="0088602F"/>
    <w:rsid w:val="008916D1"/>
    <w:rsid w:val="008917B0"/>
    <w:rsid w:val="00896A1C"/>
    <w:rsid w:val="008A1FFC"/>
    <w:rsid w:val="008A323E"/>
    <w:rsid w:val="008A35BB"/>
    <w:rsid w:val="008B08EC"/>
    <w:rsid w:val="008B0CE9"/>
    <w:rsid w:val="008B4E4B"/>
    <w:rsid w:val="008B5381"/>
    <w:rsid w:val="008B6E0B"/>
    <w:rsid w:val="008C5A99"/>
    <w:rsid w:val="008E37F8"/>
    <w:rsid w:val="008E5CA5"/>
    <w:rsid w:val="00902FDD"/>
    <w:rsid w:val="009113A7"/>
    <w:rsid w:val="0091466F"/>
    <w:rsid w:val="0092058E"/>
    <w:rsid w:val="00921FA6"/>
    <w:rsid w:val="00941D89"/>
    <w:rsid w:val="0094539B"/>
    <w:rsid w:val="009504D0"/>
    <w:rsid w:val="00954D7D"/>
    <w:rsid w:val="00957C68"/>
    <w:rsid w:val="0096140E"/>
    <w:rsid w:val="00965777"/>
    <w:rsid w:val="009657CA"/>
    <w:rsid w:val="00965D5F"/>
    <w:rsid w:val="00966EE2"/>
    <w:rsid w:val="009928F4"/>
    <w:rsid w:val="00993911"/>
    <w:rsid w:val="00993D2A"/>
    <w:rsid w:val="009958F7"/>
    <w:rsid w:val="009B0DD4"/>
    <w:rsid w:val="009C6F4B"/>
    <w:rsid w:val="009E1E2F"/>
    <w:rsid w:val="009E6A47"/>
    <w:rsid w:val="009E737A"/>
    <w:rsid w:val="009E7D02"/>
    <w:rsid w:val="00A00B16"/>
    <w:rsid w:val="00A03B6A"/>
    <w:rsid w:val="00A30118"/>
    <w:rsid w:val="00A3185A"/>
    <w:rsid w:val="00A352E3"/>
    <w:rsid w:val="00A4436C"/>
    <w:rsid w:val="00A46066"/>
    <w:rsid w:val="00A50566"/>
    <w:rsid w:val="00A671CC"/>
    <w:rsid w:val="00A73B67"/>
    <w:rsid w:val="00A745E1"/>
    <w:rsid w:val="00AA2565"/>
    <w:rsid w:val="00AB44BE"/>
    <w:rsid w:val="00AD0ED8"/>
    <w:rsid w:val="00AD3590"/>
    <w:rsid w:val="00B022DC"/>
    <w:rsid w:val="00B073D3"/>
    <w:rsid w:val="00B1259A"/>
    <w:rsid w:val="00B154CE"/>
    <w:rsid w:val="00B2485C"/>
    <w:rsid w:val="00B46CE8"/>
    <w:rsid w:val="00B53FE8"/>
    <w:rsid w:val="00B66658"/>
    <w:rsid w:val="00B722C7"/>
    <w:rsid w:val="00B8581D"/>
    <w:rsid w:val="00B91D5E"/>
    <w:rsid w:val="00B9566A"/>
    <w:rsid w:val="00BA12FC"/>
    <w:rsid w:val="00BA61E0"/>
    <w:rsid w:val="00BA78A3"/>
    <w:rsid w:val="00BE061B"/>
    <w:rsid w:val="00BF4F7F"/>
    <w:rsid w:val="00BF6A7F"/>
    <w:rsid w:val="00BF78E1"/>
    <w:rsid w:val="00C04582"/>
    <w:rsid w:val="00C06EA7"/>
    <w:rsid w:val="00C11F10"/>
    <w:rsid w:val="00C126A8"/>
    <w:rsid w:val="00C24B2D"/>
    <w:rsid w:val="00C51FF4"/>
    <w:rsid w:val="00C55663"/>
    <w:rsid w:val="00C62EA5"/>
    <w:rsid w:val="00C6780D"/>
    <w:rsid w:val="00C71E20"/>
    <w:rsid w:val="00C80D47"/>
    <w:rsid w:val="00C837A3"/>
    <w:rsid w:val="00C91B7A"/>
    <w:rsid w:val="00C95126"/>
    <w:rsid w:val="00CA5E03"/>
    <w:rsid w:val="00CA6B73"/>
    <w:rsid w:val="00CB6FEA"/>
    <w:rsid w:val="00CC6322"/>
    <w:rsid w:val="00CD0307"/>
    <w:rsid w:val="00CD3E77"/>
    <w:rsid w:val="00CD5AB7"/>
    <w:rsid w:val="00CD7BD2"/>
    <w:rsid w:val="00CF2860"/>
    <w:rsid w:val="00D118C9"/>
    <w:rsid w:val="00D120DC"/>
    <w:rsid w:val="00D25028"/>
    <w:rsid w:val="00D30EDD"/>
    <w:rsid w:val="00D435D2"/>
    <w:rsid w:val="00D502F4"/>
    <w:rsid w:val="00D6327B"/>
    <w:rsid w:val="00D70990"/>
    <w:rsid w:val="00D93A74"/>
    <w:rsid w:val="00DB7FF6"/>
    <w:rsid w:val="00DC1B6A"/>
    <w:rsid w:val="00DC548A"/>
    <w:rsid w:val="00DE1DCD"/>
    <w:rsid w:val="00E078D4"/>
    <w:rsid w:val="00E1040B"/>
    <w:rsid w:val="00E106E3"/>
    <w:rsid w:val="00E11E89"/>
    <w:rsid w:val="00E260E8"/>
    <w:rsid w:val="00E2718C"/>
    <w:rsid w:val="00E3238A"/>
    <w:rsid w:val="00E36497"/>
    <w:rsid w:val="00E746E2"/>
    <w:rsid w:val="00E7605F"/>
    <w:rsid w:val="00E81645"/>
    <w:rsid w:val="00E8772F"/>
    <w:rsid w:val="00EA04D1"/>
    <w:rsid w:val="00EA1311"/>
    <w:rsid w:val="00EA7574"/>
    <w:rsid w:val="00EB1245"/>
    <w:rsid w:val="00ED6F36"/>
    <w:rsid w:val="00EE14BA"/>
    <w:rsid w:val="00EF6A8D"/>
    <w:rsid w:val="00F00FCA"/>
    <w:rsid w:val="00F15AC6"/>
    <w:rsid w:val="00F247E3"/>
    <w:rsid w:val="00F26429"/>
    <w:rsid w:val="00F266E0"/>
    <w:rsid w:val="00F307E2"/>
    <w:rsid w:val="00F314B4"/>
    <w:rsid w:val="00F4627F"/>
    <w:rsid w:val="00F5132D"/>
    <w:rsid w:val="00F53481"/>
    <w:rsid w:val="00F6126B"/>
    <w:rsid w:val="00F63E72"/>
    <w:rsid w:val="00F645D0"/>
    <w:rsid w:val="00F7772B"/>
    <w:rsid w:val="00F8280C"/>
    <w:rsid w:val="00F86F7E"/>
    <w:rsid w:val="00F93797"/>
    <w:rsid w:val="00F9798A"/>
    <w:rsid w:val="00FA06DA"/>
    <w:rsid w:val="00FD1EF4"/>
    <w:rsid w:val="00FD4AB9"/>
    <w:rsid w:val="00FE6CB4"/>
    <w:rsid w:val="00FF0AA9"/>
    <w:rsid w:val="00FF3D8C"/>
    <w:rsid w:val="00FF48A0"/>
    <w:rsid w:val="0124CF2A"/>
    <w:rsid w:val="017C287C"/>
    <w:rsid w:val="027CA191"/>
    <w:rsid w:val="02ECC67F"/>
    <w:rsid w:val="0346A33B"/>
    <w:rsid w:val="044FC411"/>
    <w:rsid w:val="046F32F6"/>
    <w:rsid w:val="06839989"/>
    <w:rsid w:val="069CC1E6"/>
    <w:rsid w:val="06DEB1C3"/>
    <w:rsid w:val="06EF50E0"/>
    <w:rsid w:val="07A48CCF"/>
    <w:rsid w:val="07C515FF"/>
    <w:rsid w:val="07F28BEE"/>
    <w:rsid w:val="0806CB43"/>
    <w:rsid w:val="081F69EA"/>
    <w:rsid w:val="0864AF84"/>
    <w:rsid w:val="08688826"/>
    <w:rsid w:val="0942C496"/>
    <w:rsid w:val="0981A29F"/>
    <w:rsid w:val="09B465B9"/>
    <w:rsid w:val="09E1633B"/>
    <w:rsid w:val="09F5A63C"/>
    <w:rsid w:val="09F95CA8"/>
    <w:rsid w:val="0A4BCDE0"/>
    <w:rsid w:val="0B11CAF0"/>
    <w:rsid w:val="0B29C45D"/>
    <w:rsid w:val="0B4F396F"/>
    <w:rsid w:val="0B570AAC"/>
    <w:rsid w:val="0B9AD2AB"/>
    <w:rsid w:val="0C14740F"/>
    <w:rsid w:val="0C2D2E90"/>
    <w:rsid w:val="0C7C03B6"/>
    <w:rsid w:val="0D71D946"/>
    <w:rsid w:val="0DCFEFC8"/>
    <w:rsid w:val="0E03DD4B"/>
    <w:rsid w:val="0E0AAB71"/>
    <w:rsid w:val="0E13CE53"/>
    <w:rsid w:val="0E13D72F"/>
    <w:rsid w:val="0E436D46"/>
    <w:rsid w:val="0E804EF8"/>
    <w:rsid w:val="0ED8462B"/>
    <w:rsid w:val="0FB0B6AD"/>
    <w:rsid w:val="1009F09D"/>
    <w:rsid w:val="106EF720"/>
    <w:rsid w:val="10B127E9"/>
    <w:rsid w:val="119F5ED5"/>
    <w:rsid w:val="12B70189"/>
    <w:rsid w:val="12B70C09"/>
    <w:rsid w:val="12E24748"/>
    <w:rsid w:val="134F1A9F"/>
    <w:rsid w:val="13A78764"/>
    <w:rsid w:val="13B4112E"/>
    <w:rsid w:val="144FA26A"/>
    <w:rsid w:val="14A2E80D"/>
    <w:rsid w:val="15A95547"/>
    <w:rsid w:val="18865F7B"/>
    <w:rsid w:val="18D39F62"/>
    <w:rsid w:val="197382DC"/>
    <w:rsid w:val="197586AD"/>
    <w:rsid w:val="198C6097"/>
    <w:rsid w:val="19ECDCC0"/>
    <w:rsid w:val="19EED031"/>
    <w:rsid w:val="1A1BCDB3"/>
    <w:rsid w:val="1A4215D4"/>
    <w:rsid w:val="1AE5BCA0"/>
    <w:rsid w:val="1B1F37E6"/>
    <w:rsid w:val="1BCB4EB4"/>
    <w:rsid w:val="1BCD16B8"/>
    <w:rsid w:val="1C60F169"/>
    <w:rsid w:val="1CD08D4C"/>
    <w:rsid w:val="1CEA0C57"/>
    <w:rsid w:val="1CF90ECA"/>
    <w:rsid w:val="1E114A41"/>
    <w:rsid w:val="1E1AE15A"/>
    <w:rsid w:val="20AC34EC"/>
    <w:rsid w:val="211B88DA"/>
    <w:rsid w:val="21698406"/>
    <w:rsid w:val="2197FA87"/>
    <w:rsid w:val="21F13477"/>
    <w:rsid w:val="2205A1AC"/>
    <w:rsid w:val="2251318A"/>
    <w:rsid w:val="234BAE6A"/>
    <w:rsid w:val="23A59CAE"/>
    <w:rsid w:val="24E407E6"/>
    <w:rsid w:val="24F3562D"/>
    <w:rsid w:val="2534DF46"/>
    <w:rsid w:val="25E77219"/>
    <w:rsid w:val="26C6DE6B"/>
    <w:rsid w:val="26EAEE81"/>
    <w:rsid w:val="2729F4EA"/>
    <w:rsid w:val="27C148FD"/>
    <w:rsid w:val="27D61A41"/>
    <w:rsid w:val="27E68CF0"/>
    <w:rsid w:val="28023BBE"/>
    <w:rsid w:val="281BE065"/>
    <w:rsid w:val="2880C2CA"/>
    <w:rsid w:val="28AB0C05"/>
    <w:rsid w:val="28B58693"/>
    <w:rsid w:val="28CAF7A4"/>
    <w:rsid w:val="28DAB10E"/>
    <w:rsid w:val="294AEAA2"/>
    <w:rsid w:val="2A2E16FD"/>
    <w:rsid w:val="2A4166E7"/>
    <w:rsid w:val="2A477E12"/>
    <w:rsid w:val="2A9FEDDF"/>
    <w:rsid w:val="2AB35B58"/>
    <w:rsid w:val="2B3B024D"/>
    <w:rsid w:val="2B9850FF"/>
    <w:rsid w:val="2BB6C58B"/>
    <w:rsid w:val="2C477A39"/>
    <w:rsid w:val="2C8CD464"/>
    <w:rsid w:val="2CA34967"/>
    <w:rsid w:val="2CCE72BF"/>
    <w:rsid w:val="2D067BC0"/>
    <w:rsid w:val="2D47BC43"/>
    <w:rsid w:val="2E2E743A"/>
    <w:rsid w:val="2EA22285"/>
    <w:rsid w:val="2F398C94"/>
    <w:rsid w:val="2F7F4497"/>
    <w:rsid w:val="303DB7DB"/>
    <w:rsid w:val="30822194"/>
    <w:rsid w:val="30B73430"/>
    <w:rsid w:val="30D50802"/>
    <w:rsid w:val="31EEFC50"/>
    <w:rsid w:val="323CC1A1"/>
    <w:rsid w:val="325C68D9"/>
    <w:rsid w:val="332FCA36"/>
    <w:rsid w:val="33DF5090"/>
    <w:rsid w:val="34AC7DED"/>
    <w:rsid w:val="351B2AF5"/>
    <w:rsid w:val="35B5FF4B"/>
    <w:rsid w:val="35E7DE7C"/>
    <w:rsid w:val="36F4D1E5"/>
    <w:rsid w:val="370A1359"/>
    <w:rsid w:val="379CA469"/>
    <w:rsid w:val="37C91298"/>
    <w:rsid w:val="38A1FA7B"/>
    <w:rsid w:val="38EF8665"/>
    <w:rsid w:val="3946F332"/>
    <w:rsid w:val="3968A412"/>
    <w:rsid w:val="39AC2B7E"/>
    <w:rsid w:val="39EA5B9D"/>
    <w:rsid w:val="3A7BD15F"/>
    <w:rsid w:val="3AE7106F"/>
    <w:rsid w:val="3B25408E"/>
    <w:rsid w:val="3B4201E9"/>
    <w:rsid w:val="3C55A843"/>
    <w:rsid w:val="3D40E638"/>
    <w:rsid w:val="3DA4E453"/>
    <w:rsid w:val="3DB3C4D4"/>
    <w:rsid w:val="3E17CE87"/>
    <w:rsid w:val="3E3C1535"/>
    <w:rsid w:val="3F0001F4"/>
    <w:rsid w:val="3F47BA9E"/>
    <w:rsid w:val="3F9BA47C"/>
    <w:rsid w:val="4017D82E"/>
    <w:rsid w:val="404B24D1"/>
    <w:rsid w:val="40E43DD2"/>
    <w:rsid w:val="41636048"/>
    <w:rsid w:val="4194A609"/>
    <w:rsid w:val="42D7434A"/>
    <w:rsid w:val="43517A2D"/>
    <w:rsid w:val="43534E57"/>
    <w:rsid w:val="43A36C36"/>
    <w:rsid w:val="4416EDB7"/>
    <w:rsid w:val="446D9EE1"/>
    <w:rsid w:val="44CE0397"/>
    <w:rsid w:val="44DAC8DD"/>
    <w:rsid w:val="45170E10"/>
    <w:rsid w:val="45230257"/>
    <w:rsid w:val="454780FD"/>
    <w:rsid w:val="457E08BE"/>
    <w:rsid w:val="459BBF04"/>
    <w:rsid w:val="460371EF"/>
    <w:rsid w:val="46069E06"/>
    <w:rsid w:val="462F4987"/>
    <w:rsid w:val="46C13F4E"/>
    <w:rsid w:val="4734C2EF"/>
    <w:rsid w:val="475E01D2"/>
    <w:rsid w:val="47C4297C"/>
    <w:rsid w:val="48343E5B"/>
    <w:rsid w:val="48361DED"/>
    <w:rsid w:val="48C67BB6"/>
    <w:rsid w:val="497FBDB6"/>
    <w:rsid w:val="4A105200"/>
    <w:rsid w:val="4AFAA483"/>
    <w:rsid w:val="4B1CF467"/>
    <w:rsid w:val="4B5E6D1E"/>
    <w:rsid w:val="4BBFBD35"/>
    <w:rsid w:val="4C06C835"/>
    <w:rsid w:val="4C12DFFA"/>
    <w:rsid w:val="4C60CB7C"/>
    <w:rsid w:val="4C62D7F5"/>
    <w:rsid w:val="4D14CF02"/>
    <w:rsid w:val="4D5BB0F3"/>
    <w:rsid w:val="4D940F2E"/>
    <w:rsid w:val="4DB53C20"/>
    <w:rsid w:val="4DECB6DE"/>
    <w:rsid w:val="4E05715F"/>
    <w:rsid w:val="4EABB865"/>
    <w:rsid w:val="4F3FD4D4"/>
    <w:rsid w:val="50211709"/>
    <w:rsid w:val="505891C7"/>
    <w:rsid w:val="50858F49"/>
    <w:rsid w:val="5181331C"/>
    <w:rsid w:val="524375A4"/>
    <w:rsid w:val="525F662D"/>
    <w:rsid w:val="528BA29B"/>
    <w:rsid w:val="5295D6AD"/>
    <w:rsid w:val="534D4D55"/>
    <w:rsid w:val="539DE9C5"/>
    <w:rsid w:val="53A3DE12"/>
    <w:rsid w:val="53BC0A50"/>
    <w:rsid w:val="53DBFE0A"/>
    <w:rsid w:val="54094A37"/>
    <w:rsid w:val="54534939"/>
    <w:rsid w:val="55051723"/>
    <w:rsid w:val="55C98424"/>
    <w:rsid w:val="561A69D9"/>
    <w:rsid w:val="565E732C"/>
    <w:rsid w:val="57A967A6"/>
    <w:rsid w:val="57FE93F4"/>
    <w:rsid w:val="585078D1"/>
    <w:rsid w:val="585DEAA0"/>
    <w:rsid w:val="58D3C2BD"/>
    <w:rsid w:val="59081552"/>
    <w:rsid w:val="59522A5E"/>
    <w:rsid w:val="595B3817"/>
    <w:rsid w:val="59BF00B2"/>
    <w:rsid w:val="59BFB9D6"/>
    <w:rsid w:val="5A060A68"/>
    <w:rsid w:val="5A4DAC54"/>
    <w:rsid w:val="5AE1EC36"/>
    <w:rsid w:val="5B38CF96"/>
    <w:rsid w:val="5C8F48E8"/>
    <w:rsid w:val="5D14B5B1"/>
    <w:rsid w:val="5D1D033E"/>
    <w:rsid w:val="5D6158FF"/>
    <w:rsid w:val="5D9FABFC"/>
    <w:rsid w:val="5DCDE766"/>
    <w:rsid w:val="5DFA23D4"/>
    <w:rsid w:val="5F2A8B89"/>
    <w:rsid w:val="5F43460A"/>
    <w:rsid w:val="5F53BF88"/>
    <w:rsid w:val="5F90A522"/>
    <w:rsid w:val="60420185"/>
    <w:rsid w:val="60E6B546"/>
    <w:rsid w:val="623B6F90"/>
    <w:rsid w:val="6241324A"/>
    <w:rsid w:val="63098AAD"/>
    <w:rsid w:val="635467B1"/>
    <w:rsid w:val="6384D0B1"/>
    <w:rsid w:val="63DD5450"/>
    <w:rsid w:val="640F2F49"/>
    <w:rsid w:val="6435C154"/>
    <w:rsid w:val="651C626B"/>
    <w:rsid w:val="653F642D"/>
    <w:rsid w:val="6582BF8E"/>
    <w:rsid w:val="65965693"/>
    <w:rsid w:val="66294DBB"/>
    <w:rsid w:val="6695645E"/>
    <w:rsid w:val="669FD4B8"/>
    <w:rsid w:val="66A39034"/>
    <w:rsid w:val="66B6ECF4"/>
    <w:rsid w:val="67B06357"/>
    <w:rsid w:val="67BFB4E8"/>
    <w:rsid w:val="68A95A34"/>
    <w:rsid w:val="69998BCC"/>
    <w:rsid w:val="69A02D8D"/>
    <w:rsid w:val="69C5C83A"/>
    <w:rsid w:val="69D7757A"/>
    <w:rsid w:val="6A130821"/>
    <w:rsid w:val="6A1FC33E"/>
    <w:rsid w:val="6AB1C743"/>
    <w:rsid w:val="6AC120D3"/>
    <w:rsid w:val="6AD624E8"/>
    <w:rsid w:val="6B163F83"/>
    <w:rsid w:val="6B427BF1"/>
    <w:rsid w:val="6C5CF134"/>
    <w:rsid w:val="6CE380BA"/>
    <w:rsid w:val="6E0851DE"/>
    <w:rsid w:val="6E59135A"/>
    <w:rsid w:val="6E65750B"/>
    <w:rsid w:val="6F64F601"/>
    <w:rsid w:val="6F71BB97"/>
    <w:rsid w:val="6FAEE848"/>
    <w:rsid w:val="705A282D"/>
    <w:rsid w:val="71075227"/>
    <w:rsid w:val="713A79F1"/>
    <w:rsid w:val="71562EDA"/>
    <w:rsid w:val="724A1A89"/>
    <w:rsid w:val="739683FE"/>
    <w:rsid w:val="73D7A550"/>
    <w:rsid w:val="7581895A"/>
    <w:rsid w:val="75ADD145"/>
    <w:rsid w:val="75DDB8A2"/>
    <w:rsid w:val="767645C3"/>
    <w:rsid w:val="769CBA29"/>
    <w:rsid w:val="76EFFFCC"/>
    <w:rsid w:val="7749C684"/>
    <w:rsid w:val="77B8C4A1"/>
    <w:rsid w:val="77CD21DE"/>
    <w:rsid w:val="77D33909"/>
    <w:rsid w:val="7856F50D"/>
    <w:rsid w:val="785F5C7A"/>
    <w:rsid w:val="786CB39D"/>
    <w:rsid w:val="78EFDF03"/>
    <w:rsid w:val="79A6F8C2"/>
    <w:rsid w:val="7AA8E070"/>
    <w:rsid w:val="7ACE5AF8"/>
    <w:rsid w:val="7ADCC285"/>
    <w:rsid w:val="7B6E1734"/>
    <w:rsid w:val="7B7E55EC"/>
    <w:rsid w:val="7CAD4E1E"/>
    <w:rsid w:val="7D1A264D"/>
    <w:rsid w:val="7E09D147"/>
    <w:rsid w:val="7E4FAA44"/>
    <w:rsid w:val="7E872502"/>
    <w:rsid w:val="7F88FE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EB36C"/>
  <w15:chartTrackingRefBased/>
  <w15:docId w15:val="{FDD1CF6A-88D1-4CF3-A155-E1175605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F6"/>
    <w:pPr>
      <w:ind w:left="720"/>
      <w:contextualSpacing/>
    </w:pPr>
  </w:style>
  <w:style w:type="character" w:styleId="Hyperlink">
    <w:name w:val="Hyperlink"/>
    <w:basedOn w:val="DefaultParagraphFont"/>
    <w:uiPriority w:val="99"/>
    <w:unhideWhenUsed/>
    <w:rsid w:val="006723F6"/>
    <w:rPr>
      <w:color w:val="0563C1" w:themeColor="hyperlink"/>
      <w:u w:val="single"/>
    </w:rPr>
  </w:style>
  <w:style w:type="paragraph" w:styleId="Header">
    <w:name w:val="header"/>
    <w:basedOn w:val="Normal"/>
    <w:link w:val="HeaderChar"/>
    <w:uiPriority w:val="99"/>
    <w:unhideWhenUsed/>
    <w:rsid w:val="0067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F6"/>
  </w:style>
  <w:style w:type="paragraph" w:styleId="Footer">
    <w:name w:val="footer"/>
    <w:basedOn w:val="Normal"/>
    <w:link w:val="FooterChar"/>
    <w:uiPriority w:val="99"/>
    <w:unhideWhenUsed/>
    <w:rsid w:val="0067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F6"/>
  </w:style>
  <w:style w:type="table" w:styleId="TableGrid">
    <w:name w:val="Table Grid"/>
    <w:basedOn w:val="TableNormal"/>
    <w:uiPriority w:val="39"/>
    <w:rsid w:val="00427F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5B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3094"/>
    <w:rPr>
      <w:sz w:val="16"/>
      <w:szCs w:val="16"/>
    </w:rPr>
  </w:style>
  <w:style w:type="paragraph" w:styleId="CommentText">
    <w:name w:val="annotation text"/>
    <w:basedOn w:val="Normal"/>
    <w:link w:val="CommentTextChar"/>
    <w:uiPriority w:val="99"/>
    <w:semiHidden/>
    <w:unhideWhenUsed/>
    <w:rsid w:val="000D3094"/>
    <w:pPr>
      <w:spacing w:line="240" w:lineRule="auto"/>
    </w:pPr>
    <w:rPr>
      <w:sz w:val="20"/>
      <w:szCs w:val="20"/>
    </w:rPr>
  </w:style>
  <w:style w:type="character" w:customStyle="1" w:styleId="CommentTextChar">
    <w:name w:val="Comment Text Char"/>
    <w:basedOn w:val="DefaultParagraphFont"/>
    <w:link w:val="CommentText"/>
    <w:uiPriority w:val="99"/>
    <w:semiHidden/>
    <w:rsid w:val="000D3094"/>
    <w:rPr>
      <w:sz w:val="20"/>
      <w:szCs w:val="20"/>
    </w:rPr>
  </w:style>
  <w:style w:type="paragraph" w:styleId="CommentSubject">
    <w:name w:val="annotation subject"/>
    <w:basedOn w:val="CommentText"/>
    <w:next w:val="CommentText"/>
    <w:link w:val="CommentSubjectChar"/>
    <w:uiPriority w:val="99"/>
    <w:semiHidden/>
    <w:unhideWhenUsed/>
    <w:rsid w:val="000D3094"/>
    <w:rPr>
      <w:b/>
      <w:bCs/>
    </w:rPr>
  </w:style>
  <w:style w:type="character" w:customStyle="1" w:styleId="CommentSubjectChar">
    <w:name w:val="Comment Subject Char"/>
    <w:basedOn w:val="CommentTextChar"/>
    <w:link w:val="CommentSubject"/>
    <w:uiPriority w:val="99"/>
    <w:semiHidden/>
    <w:rsid w:val="000D3094"/>
    <w:rPr>
      <w:b/>
      <w:bCs/>
      <w:sz w:val="20"/>
      <w:szCs w:val="20"/>
    </w:rPr>
  </w:style>
  <w:style w:type="paragraph" w:styleId="BalloonText">
    <w:name w:val="Balloon Text"/>
    <w:basedOn w:val="Normal"/>
    <w:link w:val="BalloonTextChar"/>
    <w:uiPriority w:val="99"/>
    <w:semiHidden/>
    <w:unhideWhenUsed/>
    <w:rsid w:val="000D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94"/>
    <w:rPr>
      <w:rFonts w:ascii="Segoe UI" w:hAnsi="Segoe UI" w:cs="Segoe UI"/>
      <w:sz w:val="18"/>
      <w:szCs w:val="18"/>
    </w:rPr>
  </w:style>
  <w:style w:type="character" w:styleId="FollowedHyperlink">
    <w:name w:val="FollowedHyperlink"/>
    <w:basedOn w:val="DefaultParagraphFont"/>
    <w:uiPriority w:val="99"/>
    <w:semiHidden/>
    <w:unhideWhenUsed/>
    <w:rsid w:val="0016296D"/>
    <w:rPr>
      <w:color w:val="954F72" w:themeColor="followedHyperlink"/>
      <w:u w:val="single"/>
    </w:rPr>
  </w:style>
  <w:style w:type="paragraph" w:styleId="Revision">
    <w:name w:val="Revision"/>
    <w:hidden/>
    <w:uiPriority w:val="99"/>
    <w:semiHidden/>
    <w:rsid w:val="00AD0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3101">
      <w:bodyDiv w:val="1"/>
      <w:marLeft w:val="0"/>
      <w:marRight w:val="0"/>
      <w:marTop w:val="0"/>
      <w:marBottom w:val="0"/>
      <w:divBdr>
        <w:top w:val="none" w:sz="0" w:space="0" w:color="auto"/>
        <w:left w:val="none" w:sz="0" w:space="0" w:color="auto"/>
        <w:bottom w:val="none" w:sz="0" w:space="0" w:color="auto"/>
        <w:right w:val="none" w:sz="0" w:space="0" w:color="auto"/>
      </w:divBdr>
    </w:div>
    <w:div w:id="515463246">
      <w:bodyDiv w:val="1"/>
      <w:marLeft w:val="0"/>
      <w:marRight w:val="0"/>
      <w:marTop w:val="0"/>
      <w:marBottom w:val="0"/>
      <w:divBdr>
        <w:top w:val="none" w:sz="0" w:space="0" w:color="auto"/>
        <w:left w:val="none" w:sz="0" w:space="0" w:color="auto"/>
        <w:bottom w:val="none" w:sz="0" w:space="0" w:color="auto"/>
        <w:right w:val="none" w:sz="0" w:space="0" w:color="auto"/>
      </w:divBdr>
    </w:div>
    <w:div w:id="989484372">
      <w:bodyDiv w:val="1"/>
      <w:marLeft w:val="0"/>
      <w:marRight w:val="0"/>
      <w:marTop w:val="0"/>
      <w:marBottom w:val="0"/>
      <w:divBdr>
        <w:top w:val="none" w:sz="0" w:space="0" w:color="auto"/>
        <w:left w:val="none" w:sz="0" w:space="0" w:color="auto"/>
        <w:bottom w:val="none" w:sz="0" w:space="0" w:color="auto"/>
        <w:right w:val="none" w:sz="0" w:space="0" w:color="auto"/>
      </w:divBdr>
    </w:div>
    <w:div w:id="1472360322">
      <w:bodyDiv w:val="1"/>
      <w:marLeft w:val="0"/>
      <w:marRight w:val="0"/>
      <w:marTop w:val="0"/>
      <w:marBottom w:val="0"/>
      <w:divBdr>
        <w:top w:val="none" w:sz="0" w:space="0" w:color="auto"/>
        <w:left w:val="none" w:sz="0" w:space="0" w:color="auto"/>
        <w:bottom w:val="none" w:sz="0" w:space="0" w:color="auto"/>
        <w:right w:val="none" w:sz="0" w:space="0" w:color="auto"/>
      </w:divBdr>
    </w:div>
    <w:div w:id="2076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gp.hmppsintranet.org.uk/2020/09/28/heat-map-for-reverse-cohorting-requirements-to-review-regi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gp.hmppsintranet.org.uk/2020/04/15/safe-operating-procedures-sop-using-ppe/" TargetMode="Externa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gp.hmppsintranet.org.uk/2020/04/15/safe-operating-procedures-sop-using-pp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VID19Ops&amp;Guidance1@justice.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gp.hmppsintranet.org.uk/stage-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4" ma:contentTypeDescription="Create a new document." ma:contentTypeScope="" ma:versionID="138f02110e411e09cc86ebaf136831ce">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e5cc967bae212718b4aca9691b28a8e4"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C3A3-7754-4956-B73B-92453553E6E1}">
  <ds:schemaRefs>
    <ds:schemaRef ds:uri="http://schemas.microsoft.com/sharepoint/v3/contenttype/forms"/>
  </ds:schemaRefs>
</ds:datastoreItem>
</file>

<file path=customXml/itemProps2.xml><?xml version="1.0" encoding="utf-8"?>
<ds:datastoreItem xmlns:ds="http://schemas.openxmlformats.org/officeDocument/2006/customXml" ds:itemID="{F92C10E6-5611-45A5-B6FF-46359848390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0b4204d-8db7-4809-a4c4-7914704a9d2c"/>
    <ds:schemaRef ds:uri="b010cd66-f127-4841-bac0-4c0fad6dd23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9401A4-DF0A-44E1-9403-CE9689BD6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D942C-1E7D-44AB-A1EF-64286B47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Cornmell, Ed</cp:lastModifiedBy>
  <cp:revision>2</cp:revision>
  <dcterms:created xsi:type="dcterms:W3CDTF">2022-02-02T21:53:00Z</dcterms:created>
  <dcterms:modified xsi:type="dcterms:W3CDTF">2022-02-02T21:53:00Z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