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B6CA" w14:textId="1CDA8BF8" w:rsidR="00960D78" w:rsidRPr="00960D78" w:rsidRDefault="00960D78" w:rsidP="00960D78">
      <w:pPr>
        <w:spacing w:after="0" w:line="240" w:lineRule="auto"/>
        <w:jc w:val="both"/>
        <w:rPr>
          <w:b/>
        </w:rPr>
      </w:pPr>
      <w:r w:rsidRPr="00960D78">
        <w:rPr>
          <w:b/>
          <w:u w:val="single"/>
        </w:rPr>
        <w:t>2</w:t>
      </w:r>
      <w:r w:rsidR="00FC5E8A">
        <w:rPr>
          <w:b/>
          <w:u w:val="single"/>
        </w:rPr>
        <w:t>5</w:t>
      </w:r>
      <w:r w:rsidRPr="00960D78">
        <w:rPr>
          <w:b/>
          <w:u w:val="single"/>
        </w:rPr>
        <w:t xml:space="preserve">.02.2022 Regime Progression </w:t>
      </w:r>
      <w:r w:rsidRPr="00960D78">
        <w:rPr>
          <w:b/>
          <w:bCs/>
          <w:u w:val="single"/>
        </w:rPr>
        <w:t xml:space="preserve">to </w:t>
      </w:r>
      <w:r w:rsidRPr="00960D78">
        <w:rPr>
          <w:b/>
          <w:u w:val="single"/>
        </w:rPr>
        <w:t>Stage 1 in Prisons</w:t>
      </w:r>
    </w:p>
    <w:p w14:paraId="310D1CEE" w14:textId="77777777" w:rsidR="00960D78" w:rsidRPr="00960D78" w:rsidRDefault="00960D78" w:rsidP="00960D78">
      <w:pPr>
        <w:spacing w:after="0" w:line="240" w:lineRule="auto"/>
        <w:jc w:val="both"/>
        <w:rPr>
          <w:rFonts w:cstheme="minorHAnsi"/>
          <w:b/>
          <w:bCs/>
        </w:rPr>
      </w:pPr>
    </w:p>
    <w:p w14:paraId="5F1B9D1E" w14:textId="77777777" w:rsidR="00960D78" w:rsidRPr="00960D78" w:rsidRDefault="00960D78" w:rsidP="00960D78">
      <w:pPr>
        <w:spacing w:after="0" w:line="240" w:lineRule="auto"/>
        <w:jc w:val="both"/>
        <w:rPr>
          <w:rFonts w:ascii="Calibri" w:hAnsi="Calibri" w:cs="Arial"/>
          <w:b/>
          <w:bCs/>
        </w:rPr>
      </w:pPr>
      <w:r w:rsidRPr="00960D78">
        <w:rPr>
          <w:rFonts w:ascii="Calibri" w:hAnsi="Calibri" w:cs="Arial"/>
          <w:b/>
          <w:bCs/>
        </w:rPr>
        <w:t>Purpose</w:t>
      </w:r>
    </w:p>
    <w:p w14:paraId="416783C1" w14:textId="77777777" w:rsidR="00960D78" w:rsidRPr="00960D78" w:rsidRDefault="00960D78" w:rsidP="00960D78">
      <w:pPr>
        <w:spacing w:after="0" w:line="240" w:lineRule="auto"/>
        <w:jc w:val="both"/>
        <w:rPr>
          <w:rFonts w:ascii="Calibri" w:hAnsi="Calibri" w:cs="Arial"/>
        </w:rPr>
      </w:pPr>
    </w:p>
    <w:p w14:paraId="3B36669E" w14:textId="7E756355" w:rsidR="00960D78" w:rsidRPr="00960D78" w:rsidRDefault="00960D78" w:rsidP="00960D78">
      <w:pPr>
        <w:spacing w:after="0" w:line="240" w:lineRule="auto"/>
        <w:jc w:val="both"/>
        <w:rPr>
          <w:rFonts w:ascii="Calibri" w:hAnsi="Calibri" w:cs="Arial"/>
          <w:color w:val="0B0C0C"/>
          <w:shd w:val="clear" w:color="auto" w:fill="FFFFFF"/>
        </w:rPr>
      </w:pPr>
      <w:r w:rsidRPr="00960D78">
        <w:rPr>
          <w:rFonts w:ascii="Calibri" w:hAnsi="Calibri" w:cs="Arial"/>
        </w:rPr>
        <w:t xml:space="preserve">Due to the continued reduction in community prevalence, reduced disease severity and protections provided by vaccination against COVID-19, </w:t>
      </w:r>
      <w:r w:rsidR="005C3EF7">
        <w:rPr>
          <w:rFonts w:ascii="Calibri" w:hAnsi="Calibri" w:cs="Arial"/>
        </w:rPr>
        <w:t>M</w:t>
      </w:r>
      <w:r w:rsidRPr="00960D78">
        <w:rPr>
          <w:rFonts w:ascii="Calibri" w:hAnsi="Calibri" w:cs="Arial"/>
        </w:rPr>
        <w:t xml:space="preserve">inisters have agreed that the timing is right to </w:t>
      </w:r>
      <w:r w:rsidRPr="00960D78">
        <w:rPr>
          <w:rFonts w:ascii="Calibri" w:hAnsi="Calibri" w:cs="Arial"/>
          <w:b/>
          <w:bCs/>
        </w:rPr>
        <w:t>open the Stage 1 Gateway for all sites as of today, 2</w:t>
      </w:r>
      <w:r w:rsidR="003F61EE">
        <w:rPr>
          <w:rFonts w:ascii="Calibri" w:hAnsi="Calibri" w:cs="Arial"/>
          <w:b/>
          <w:bCs/>
        </w:rPr>
        <w:t>5</w:t>
      </w:r>
      <w:r w:rsidRPr="00960D78">
        <w:rPr>
          <w:rFonts w:ascii="Calibri" w:hAnsi="Calibri" w:cs="Arial"/>
          <w:b/>
          <w:bCs/>
        </w:rPr>
        <w:t>.02.22.</w:t>
      </w:r>
      <w:r w:rsidRPr="00960D78">
        <w:rPr>
          <w:rFonts w:ascii="Calibri" w:hAnsi="Calibri" w:cs="Arial"/>
          <w:color w:val="0B0C0C"/>
          <w:shd w:val="clear" w:color="auto" w:fill="FFFFFF"/>
        </w:rPr>
        <w:t xml:space="preserve"> </w:t>
      </w:r>
      <w:r w:rsidRPr="00960D78">
        <w:rPr>
          <w:rFonts w:ascii="Calibri" w:eastAsiaTheme="minorEastAsia" w:hAnsi="Calibri" w:cs="Arial"/>
        </w:rPr>
        <w:t xml:space="preserve">This decision is relevant to all prisons in England and Wales, including the youth secure estate. </w:t>
      </w:r>
    </w:p>
    <w:p w14:paraId="310B9DA1" w14:textId="77777777" w:rsidR="00960D78" w:rsidRPr="00960D78" w:rsidRDefault="00960D78" w:rsidP="00960D78">
      <w:pPr>
        <w:spacing w:after="0" w:line="240" w:lineRule="auto"/>
        <w:jc w:val="both"/>
        <w:rPr>
          <w:rFonts w:ascii="Arial" w:eastAsia="Arial" w:hAnsi="Arial" w:cs="Arial"/>
          <w:color w:val="000000" w:themeColor="text1"/>
          <w:sz w:val="24"/>
          <w:szCs w:val="24"/>
        </w:rPr>
      </w:pPr>
    </w:p>
    <w:p w14:paraId="25AB0859" w14:textId="77777777" w:rsidR="00960D78" w:rsidRPr="00960D78" w:rsidRDefault="00960D78" w:rsidP="00960D78">
      <w:pPr>
        <w:spacing w:after="0" w:line="240" w:lineRule="auto"/>
        <w:jc w:val="both"/>
        <w:rPr>
          <w:rFonts w:eastAsia="Arial"/>
          <w:b/>
          <w:bCs/>
          <w:color w:val="000000" w:themeColor="text1"/>
          <w:u w:val="single"/>
        </w:rPr>
      </w:pPr>
      <w:r w:rsidRPr="00960D78">
        <w:rPr>
          <w:rFonts w:eastAsia="Arial"/>
          <w:color w:val="000000" w:themeColor="text1"/>
        </w:rPr>
        <w:t xml:space="preserve">The opening of the progression gateway is an important step in our recovery and reflects the significant reduction in risk we are now seeing. </w:t>
      </w:r>
    </w:p>
    <w:p w14:paraId="2D6C1686" w14:textId="77777777" w:rsidR="00960D78" w:rsidRPr="00960D78" w:rsidRDefault="00960D78" w:rsidP="00960D78">
      <w:pPr>
        <w:spacing w:after="0" w:line="240" w:lineRule="auto"/>
        <w:jc w:val="both"/>
        <w:rPr>
          <w:rFonts w:eastAsia="Arial"/>
          <w:color w:val="000000" w:themeColor="text1"/>
        </w:rPr>
      </w:pPr>
    </w:p>
    <w:p w14:paraId="26A8E481" w14:textId="77777777" w:rsidR="00960D78" w:rsidRPr="00960D78" w:rsidRDefault="00960D78" w:rsidP="00960D78">
      <w:pPr>
        <w:spacing w:after="0" w:line="240" w:lineRule="auto"/>
        <w:jc w:val="both"/>
        <w:rPr>
          <w:rFonts w:eastAsia="Arial"/>
          <w:color w:val="000000" w:themeColor="text1"/>
        </w:rPr>
      </w:pPr>
      <w:r w:rsidRPr="00960D78">
        <w:rPr>
          <w:rFonts w:eastAsia="Arial"/>
          <w:b/>
          <w:color w:val="000000" w:themeColor="text1"/>
        </w:rPr>
        <w:t>Action</w:t>
      </w:r>
    </w:p>
    <w:p w14:paraId="3852E9D4" w14:textId="77777777" w:rsidR="00960D78" w:rsidRPr="00960D78" w:rsidRDefault="00960D78" w:rsidP="00960D78">
      <w:pPr>
        <w:spacing w:after="0" w:line="240" w:lineRule="auto"/>
        <w:jc w:val="both"/>
        <w:rPr>
          <w:rFonts w:eastAsia="Arial"/>
          <w:color w:val="000000" w:themeColor="text1"/>
        </w:rPr>
      </w:pPr>
    </w:p>
    <w:p w14:paraId="5FE12FFF" w14:textId="77777777" w:rsidR="00960D78" w:rsidRPr="00960D78" w:rsidRDefault="00960D78" w:rsidP="00960D78">
      <w:pPr>
        <w:spacing w:after="0" w:line="240" w:lineRule="auto"/>
        <w:jc w:val="both"/>
        <w:rPr>
          <w:rFonts w:eastAsia="Arial"/>
          <w:color w:val="000000" w:themeColor="text1"/>
        </w:rPr>
      </w:pPr>
      <w:r w:rsidRPr="00960D78">
        <w:rPr>
          <w:rFonts w:eastAsia="Arial"/>
          <w:color w:val="000000" w:themeColor="text1"/>
        </w:rPr>
        <w:t xml:space="preserve">Governors should now consider their readiness for Stage 1 and those in a position for progression should follow the process below. </w:t>
      </w:r>
    </w:p>
    <w:p w14:paraId="5CFB3C80" w14:textId="77777777" w:rsidR="00960D78" w:rsidRPr="00960D78" w:rsidRDefault="00960D78" w:rsidP="00960D78">
      <w:pPr>
        <w:spacing w:after="0" w:line="240" w:lineRule="auto"/>
        <w:jc w:val="both"/>
        <w:rPr>
          <w:rFonts w:eastAsia="Arial"/>
          <w:color w:val="000000" w:themeColor="text1"/>
        </w:rPr>
      </w:pPr>
    </w:p>
    <w:p w14:paraId="2D4CE5CC" w14:textId="77777777" w:rsidR="00960D78" w:rsidRPr="00960D78" w:rsidRDefault="00960D78" w:rsidP="00960D78">
      <w:pPr>
        <w:spacing w:after="0" w:line="240" w:lineRule="auto"/>
        <w:jc w:val="both"/>
        <w:rPr>
          <w:rFonts w:eastAsia="Arial"/>
          <w:b/>
          <w:bCs/>
          <w:color w:val="000000" w:themeColor="text1"/>
        </w:rPr>
      </w:pPr>
      <w:r w:rsidRPr="00960D78">
        <w:rPr>
          <w:rFonts w:eastAsia="Arial"/>
          <w:b/>
          <w:bCs/>
          <w:color w:val="000000" w:themeColor="text1"/>
        </w:rPr>
        <w:t>Testing</w:t>
      </w:r>
    </w:p>
    <w:p w14:paraId="7A18A124" w14:textId="77777777" w:rsidR="00960D78" w:rsidRPr="00960D78" w:rsidRDefault="00960D78" w:rsidP="00960D78">
      <w:pPr>
        <w:spacing w:after="0" w:line="240" w:lineRule="auto"/>
        <w:jc w:val="both"/>
        <w:rPr>
          <w:rFonts w:ascii="Arial" w:eastAsia="Arial" w:hAnsi="Arial" w:cs="Arial"/>
          <w:b/>
          <w:bCs/>
          <w:color w:val="000000" w:themeColor="text1"/>
          <w:sz w:val="24"/>
          <w:szCs w:val="24"/>
          <w:u w:val="single"/>
        </w:rPr>
      </w:pPr>
    </w:p>
    <w:p w14:paraId="1DEAE0B6" w14:textId="65868AD1" w:rsidR="00960D78" w:rsidRPr="00960D78" w:rsidRDefault="00960D78" w:rsidP="00960D78">
      <w:pPr>
        <w:spacing w:after="0" w:line="240" w:lineRule="auto"/>
        <w:jc w:val="both"/>
        <w:rPr>
          <w:rFonts w:eastAsia="Arial"/>
          <w:b/>
          <w:bCs/>
          <w:color w:val="000000" w:themeColor="text1"/>
        </w:rPr>
      </w:pPr>
      <w:r w:rsidRPr="00960D78">
        <w:rPr>
          <w:rFonts w:eastAsia="Arial"/>
          <w:color w:val="000000" w:themeColor="text1"/>
        </w:rPr>
        <w:t>At present, mandatory daily testing remains in place for all establishments, however</w:t>
      </w:r>
      <w:r w:rsidRPr="00960D78">
        <w:rPr>
          <w:rFonts w:ascii="Calibri" w:hAnsi="Calibri" w:cs="Arial"/>
        </w:rPr>
        <w:t xml:space="preserve"> work is being completed with UKHSA on the short and medium – term approach to testing, and further details will be shared next week. </w:t>
      </w:r>
      <w:r w:rsidRPr="00960D78">
        <w:rPr>
          <w:rFonts w:ascii="Calibri" w:eastAsiaTheme="minorEastAsia" w:hAnsi="Calibri" w:cs="Arial"/>
        </w:rPr>
        <w:t xml:space="preserve">Testing will remain an important control for </w:t>
      </w:r>
      <w:r w:rsidR="005C3EF7">
        <w:rPr>
          <w:rFonts w:ascii="Calibri" w:eastAsiaTheme="minorEastAsia" w:hAnsi="Calibri" w:cs="Arial"/>
        </w:rPr>
        <w:t>managing</w:t>
      </w:r>
      <w:r w:rsidRPr="00960D78">
        <w:rPr>
          <w:rFonts w:ascii="Calibri" w:eastAsiaTheme="minorEastAsia" w:hAnsi="Calibri" w:cs="Arial"/>
        </w:rPr>
        <w:t xml:space="preserve"> infection and risk limitation, but we recognise it must be proportionate to the level of risk as that changes.</w:t>
      </w:r>
    </w:p>
    <w:p w14:paraId="56BB58B1" w14:textId="77777777" w:rsidR="00960D78" w:rsidRPr="00960D78" w:rsidRDefault="00960D78" w:rsidP="00960D78">
      <w:pPr>
        <w:spacing w:after="0" w:line="240" w:lineRule="auto"/>
        <w:jc w:val="both"/>
        <w:rPr>
          <w:rFonts w:ascii="Arial" w:eastAsia="Arial" w:hAnsi="Arial" w:cs="Arial"/>
          <w:color w:val="000000" w:themeColor="text1"/>
          <w:sz w:val="24"/>
          <w:szCs w:val="24"/>
        </w:rPr>
      </w:pPr>
    </w:p>
    <w:p w14:paraId="6C466F71" w14:textId="77777777" w:rsidR="00960D78" w:rsidRPr="00960D78" w:rsidRDefault="00960D78" w:rsidP="00960D78">
      <w:pPr>
        <w:spacing w:after="0" w:line="240" w:lineRule="auto"/>
        <w:jc w:val="both"/>
        <w:rPr>
          <w:rFonts w:eastAsia="Arial" w:cstheme="minorHAnsi"/>
          <w:b/>
          <w:bCs/>
          <w:color w:val="000000" w:themeColor="text1"/>
        </w:rPr>
      </w:pPr>
      <w:r w:rsidRPr="00960D78">
        <w:rPr>
          <w:rFonts w:eastAsia="Arial" w:cstheme="minorHAnsi"/>
          <w:b/>
          <w:bCs/>
          <w:color w:val="000000" w:themeColor="text1"/>
        </w:rPr>
        <w:t xml:space="preserve">Progression mechanics </w:t>
      </w:r>
    </w:p>
    <w:p w14:paraId="652E2687" w14:textId="77777777" w:rsidR="00960D78" w:rsidRPr="00960D78" w:rsidRDefault="00960D78" w:rsidP="00960D78">
      <w:pPr>
        <w:spacing w:after="0" w:line="240" w:lineRule="auto"/>
        <w:jc w:val="both"/>
        <w:rPr>
          <w:rFonts w:eastAsia="Arial" w:cstheme="minorHAnsi"/>
          <w:b/>
          <w:bCs/>
          <w:color w:val="000000" w:themeColor="text1"/>
        </w:rPr>
      </w:pPr>
    </w:p>
    <w:p w14:paraId="3688F936" w14:textId="77777777" w:rsidR="00960D78" w:rsidRPr="00960D78" w:rsidRDefault="00960D78" w:rsidP="00960D78">
      <w:pPr>
        <w:shd w:val="clear" w:color="auto" w:fill="FFFFFF" w:themeFill="background1"/>
        <w:spacing w:after="0" w:line="240" w:lineRule="auto"/>
        <w:jc w:val="both"/>
      </w:pPr>
      <w:r w:rsidRPr="00960D78">
        <w:rPr>
          <w:rFonts w:ascii="Calibri" w:hAnsi="Calibri" w:cs="Times New Roman"/>
        </w:rPr>
        <w:t xml:space="preserve">Stage 1 removes the routine requirement and expectation for social distancing, and SOP mandation for face masks in all but </w:t>
      </w:r>
      <w:hyperlink r:id="rId10">
        <w:r w:rsidRPr="00960D78">
          <w:rPr>
            <w:rFonts w:ascii="Calibri" w:hAnsi="Calibri" w:cs="Times New Roman"/>
            <w:color w:val="0563C1" w:themeColor="hyperlink"/>
            <w:u w:val="single"/>
          </w:rPr>
          <w:t>specific instances</w:t>
        </w:r>
      </w:hyperlink>
      <w:r w:rsidRPr="00960D78">
        <w:rPr>
          <w:rFonts w:ascii="Calibri" w:hAnsi="Calibri" w:cs="Times New Roman"/>
        </w:rPr>
        <w:t xml:space="preserve">. </w:t>
      </w:r>
    </w:p>
    <w:p w14:paraId="3FCD633C" w14:textId="77777777" w:rsidR="00960D78" w:rsidRPr="00960D78" w:rsidRDefault="00960D78" w:rsidP="00960D78">
      <w:pPr>
        <w:shd w:val="clear" w:color="auto" w:fill="FFFFFF" w:themeFill="background1"/>
        <w:spacing w:after="0" w:line="240" w:lineRule="auto"/>
        <w:jc w:val="both"/>
        <w:rPr>
          <w:rFonts w:ascii="Calibri" w:hAnsi="Calibri" w:cs="Arial"/>
        </w:rPr>
      </w:pPr>
    </w:p>
    <w:p w14:paraId="4564CDBD" w14:textId="77777777" w:rsidR="00960D78" w:rsidRPr="00960D78" w:rsidRDefault="00960D78" w:rsidP="00960D78">
      <w:pPr>
        <w:shd w:val="clear" w:color="auto" w:fill="FFFFFF" w:themeFill="background1"/>
        <w:spacing w:after="0" w:line="240" w:lineRule="auto"/>
        <w:jc w:val="both"/>
      </w:pPr>
      <w:r w:rsidRPr="00960D78">
        <w:rPr>
          <w:rFonts w:ascii="Calibri" w:hAnsi="Calibri" w:cs="Arial"/>
        </w:rPr>
        <w:t xml:space="preserve">Sites are now able to move out of outbreak status more promptly following recently published </w:t>
      </w:r>
      <w:hyperlink r:id="rId11">
        <w:r w:rsidRPr="00960D78">
          <w:rPr>
            <w:rFonts w:ascii="Calibri" w:hAnsi="Calibri" w:cs="Arial"/>
            <w:color w:val="0563C1"/>
            <w:u w:val="single"/>
          </w:rPr>
          <w:t>UKHSA advice.</w:t>
        </w:r>
      </w:hyperlink>
    </w:p>
    <w:p w14:paraId="47359670" w14:textId="77777777" w:rsidR="00960D78" w:rsidRPr="00960D78" w:rsidRDefault="00960D78" w:rsidP="00960D78">
      <w:pPr>
        <w:shd w:val="clear" w:color="auto" w:fill="FFFFFF" w:themeFill="background1"/>
        <w:spacing w:after="0" w:line="240" w:lineRule="auto"/>
        <w:jc w:val="both"/>
      </w:pPr>
      <w:r w:rsidRPr="00960D78">
        <w:rPr>
          <w:rFonts w:ascii="Calibri" w:hAnsi="Calibri" w:cs="Arial"/>
        </w:rPr>
        <w:t xml:space="preserve"> </w:t>
      </w:r>
    </w:p>
    <w:p w14:paraId="3F59DA5A" w14:textId="1317CFC4" w:rsidR="00960D78" w:rsidRPr="00960D78" w:rsidRDefault="00960D78" w:rsidP="00960D78">
      <w:pPr>
        <w:spacing w:after="0" w:line="240" w:lineRule="auto"/>
        <w:jc w:val="both"/>
        <w:rPr>
          <w:rFonts w:eastAsia="Arial"/>
          <w:color w:val="000000" w:themeColor="text1"/>
        </w:rPr>
      </w:pPr>
      <w:r w:rsidRPr="00960D78">
        <w:rPr>
          <w:rFonts w:eastAsia="Arial"/>
          <w:color w:val="000000" w:themeColor="text1"/>
        </w:rPr>
        <w:t xml:space="preserve">Details of </w:t>
      </w:r>
      <w:r w:rsidR="005C3EF7">
        <w:rPr>
          <w:rFonts w:eastAsia="Arial"/>
          <w:color w:val="000000" w:themeColor="text1"/>
        </w:rPr>
        <w:t xml:space="preserve">the </w:t>
      </w:r>
      <w:r w:rsidRPr="00960D78">
        <w:rPr>
          <w:rFonts w:eastAsia="Arial"/>
          <w:color w:val="000000" w:themeColor="text1"/>
        </w:rPr>
        <w:t xml:space="preserve">progression mechanics are provided in the embedded document below. As of now, all establishments RAG rated </w:t>
      </w:r>
      <w:r w:rsidRPr="00960D78">
        <w:rPr>
          <w:rFonts w:eastAsia="Arial"/>
          <w:b/>
          <w:color w:val="FFC000" w:themeColor="accent4"/>
        </w:rPr>
        <w:t>AMBER</w:t>
      </w:r>
      <w:r w:rsidRPr="00960D78">
        <w:rPr>
          <w:rFonts w:eastAsia="Arial"/>
          <w:color w:val="000000" w:themeColor="text1"/>
        </w:rPr>
        <w:t xml:space="preserve"> at the national </w:t>
      </w:r>
      <w:hyperlink r:id="rId12">
        <w:r w:rsidRPr="00960D78">
          <w:rPr>
            <w:rFonts w:eastAsia="Arial"/>
            <w:color w:val="0563C1" w:themeColor="hyperlink"/>
            <w:u w:val="single"/>
          </w:rPr>
          <w:t>heatmap</w:t>
        </w:r>
      </w:hyperlink>
      <w:r w:rsidRPr="00960D78">
        <w:rPr>
          <w:rFonts w:eastAsia="Arial"/>
          <w:color w:val="000000" w:themeColor="text1"/>
        </w:rPr>
        <w:t xml:space="preserve"> panel will be able to apply for progression. As before, Stage 1 approval is signed off by </w:t>
      </w:r>
      <w:r w:rsidR="005C3EF7">
        <w:rPr>
          <w:rFonts w:eastAsia="Arial"/>
          <w:color w:val="000000" w:themeColor="text1"/>
        </w:rPr>
        <w:t>the Prison Group Director (</w:t>
      </w:r>
      <w:r w:rsidRPr="00960D78">
        <w:rPr>
          <w:rFonts w:eastAsia="Arial"/>
          <w:color w:val="000000" w:themeColor="text1"/>
        </w:rPr>
        <w:t>PGD</w:t>
      </w:r>
      <w:r w:rsidR="005C3EF7">
        <w:rPr>
          <w:rFonts w:eastAsia="Arial"/>
          <w:color w:val="000000" w:themeColor="text1"/>
        </w:rPr>
        <w:t>)</w:t>
      </w:r>
      <w:r w:rsidRPr="00960D78">
        <w:rPr>
          <w:rFonts w:eastAsia="Arial"/>
          <w:color w:val="000000" w:themeColor="text1"/>
        </w:rPr>
        <w:t>, with E</w:t>
      </w:r>
      <w:r w:rsidR="005C3EF7">
        <w:rPr>
          <w:rFonts w:eastAsia="Arial"/>
          <w:color w:val="000000" w:themeColor="text1"/>
        </w:rPr>
        <w:t xml:space="preserve">xecutive </w:t>
      </w:r>
      <w:r w:rsidR="005C3EF7" w:rsidRPr="00960D78">
        <w:rPr>
          <w:rFonts w:eastAsia="Arial"/>
          <w:color w:val="000000" w:themeColor="text1"/>
        </w:rPr>
        <w:t>D</w:t>
      </w:r>
      <w:r w:rsidR="005C3EF7">
        <w:rPr>
          <w:rFonts w:eastAsia="Arial"/>
          <w:color w:val="000000" w:themeColor="text1"/>
        </w:rPr>
        <w:t>irector (ED)</w:t>
      </w:r>
      <w:r w:rsidRPr="00960D78">
        <w:rPr>
          <w:rFonts w:eastAsia="Arial"/>
          <w:color w:val="000000" w:themeColor="text1"/>
        </w:rPr>
        <w:t xml:space="preserve"> oversight. </w:t>
      </w:r>
      <w:r w:rsidR="005C3EF7">
        <w:rPr>
          <w:rFonts w:eastAsia="Arial"/>
          <w:color w:val="000000" w:themeColor="text1"/>
        </w:rPr>
        <w:t xml:space="preserve">  </w:t>
      </w:r>
      <w:r w:rsidRPr="00960D78">
        <w:rPr>
          <w:rFonts w:eastAsia="Arial"/>
          <w:color w:val="000000" w:themeColor="text1"/>
        </w:rPr>
        <w:t>ED offices will notify Gold</w:t>
      </w:r>
      <w:r w:rsidR="005C3EF7">
        <w:rPr>
          <w:rFonts w:eastAsia="Arial"/>
          <w:color w:val="000000" w:themeColor="text1"/>
        </w:rPr>
        <w:t xml:space="preserve"> of regime stage changes</w:t>
      </w:r>
      <w:r w:rsidRPr="00960D78">
        <w:rPr>
          <w:rFonts w:eastAsia="Arial"/>
          <w:color w:val="000000" w:themeColor="text1"/>
        </w:rPr>
        <w:t>.</w:t>
      </w:r>
    </w:p>
    <w:p w14:paraId="751A7E57" w14:textId="77777777" w:rsidR="00960D78" w:rsidRPr="00960D78" w:rsidRDefault="00960D78" w:rsidP="00960D78">
      <w:pPr>
        <w:spacing w:after="0" w:line="240" w:lineRule="auto"/>
        <w:jc w:val="both"/>
        <w:rPr>
          <w:rFonts w:eastAsia="Arial"/>
          <w:color w:val="000000" w:themeColor="text1"/>
        </w:rPr>
      </w:pPr>
    </w:p>
    <w:p w14:paraId="146DD308" w14:textId="129EA078" w:rsidR="00960D78" w:rsidRPr="003F61EE" w:rsidRDefault="00960D78" w:rsidP="003F61EE">
      <w:pPr>
        <w:pStyle w:val="CommentText"/>
        <w:jc w:val="both"/>
        <w:rPr>
          <w:sz w:val="22"/>
          <w:szCs w:val="22"/>
        </w:rPr>
      </w:pPr>
      <w:r w:rsidRPr="003F61EE">
        <w:rPr>
          <w:rFonts w:eastAsia="Arial"/>
          <w:sz w:val="22"/>
          <w:szCs w:val="22"/>
        </w:rPr>
        <w:t xml:space="preserve">Progression is possible directly from Stage 3 to Stage 1. Sites progressing to Stage 1 for the first time must complete a full progression process, including consultation with stakeholders and Trade Unions. </w:t>
      </w:r>
      <w:r w:rsidR="003F61EE" w:rsidRPr="003F61EE">
        <w:rPr>
          <w:sz w:val="22"/>
          <w:szCs w:val="22"/>
        </w:rPr>
        <w:t>Those that have previously agreed Stage 1 plans, if they remain unchanged, should still engage with Trade Unions but fuller consultation will not be required.  It is essential that in all cases that risk assessments and local operating procedures are appropriate to manage any risks.</w:t>
      </w:r>
    </w:p>
    <w:p w14:paraId="5445A476" w14:textId="77777777" w:rsidR="00960D78" w:rsidRPr="00960D78" w:rsidRDefault="00960D78" w:rsidP="00960D78">
      <w:pPr>
        <w:spacing w:after="0" w:line="240" w:lineRule="auto"/>
        <w:jc w:val="both"/>
        <w:rPr>
          <w:rFonts w:eastAsia="Arial"/>
          <w:color w:val="000000" w:themeColor="text1"/>
        </w:rPr>
      </w:pPr>
    </w:p>
    <w:p w14:paraId="0EC31272" w14:textId="77777777" w:rsidR="00960D78" w:rsidRPr="00960D78" w:rsidRDefault="00960D78" w:rsidP="00960D78">
      <w:pPr>
        <w:spacing w:after="0" w:line="240" w:lineRule="auto"/>
        <w:jc w:val="both"/>
        <w:rPr>
          <w:rFonts w:eastAsia="Arial"/>
          <w:color w:val="000000" w:themeColor="text1"/>
        </w:rPr>
      </w:pPr>
      <w:r w:rsidRPr="00960D78">
        <w:rPr>
          <w:rFonts w:eastAsia="Arial"/>
          <w:color w:val="000000" w:themeColor="text1"/>
        </w:rPr>
        <w:t>Sites wishing to progress and eligible to do so will fall into one of the following categories and should follow the relevant guidance:</w:t>
      </w:r>
    </w:p>
    <w:p w14:paraId="6CA74F24" w14:textId="77777777" w:rsidR="00960D78" w:rsidRPr="00960D78" w:rsidRDefault="00960D78" w:rsidP="00960D78">
      <w:pPr>
        <w:spacing w:after="0" w:line="240" w:lineRule="auto"/>
        <w:jc w:val="both"/>
        <w:rPr>
          <w:rFonts w:eastAsia="Arial"/>
          <w:color w:val="000000" w:themeColor="text1"/>
        </w:rPr>
      </w:pPr>
    </w:p>
    <w:p w14:paraId="69940CF7" w14:textId="77777777" w:rsidR="00960D78" w:rsidRPr="00960D78" w:rsidRDefault="00960D78" w:rsidP="00960D78">
      <w:pPr>
        <w:numPr>
          <w:ilvl w:val="0"/>
          <w:numId w:val="1"/>
        </w:numPr>
        <w:spacing w:after="0" w:line="240" w:lineRule="auto"/>
        <w:contextualSpacing/>
        <w:jc w:val="both"/>
        <w:rPr>
          <w:rFonts w:eastAsiaTheme="minorEastAsia"/>
          <w:color w:val="000000" w:themeColor="text1"/>
        </w:rPr>
      </w:pPr>
      <w:r w:rsidRPr="00960D78">
        <w:rPr>
          <w:rFonts w:eastAsia="Arial"/>
          <w:color w:val="000000" w:themeColor="text1"/>
        </w:rPr>
        <w:t xml:space="preserve">Sites wishing to progress directly from Stage 3 to </w:t>
      </w:r>
      <w:hyperlink r:id="rId13" w:history="1">
        <w:r w:rsidRPr="00960D78">
          <w:rPr>
            <w:rFonts w:eastAsia="Arial"/>
            <w:color w:val="0563C1" w:themeColor="hyperlink"/>
            <w:u w:val="single"/>
          </w:rPr>
          <w:t>Stage 1</w:t>
        </w:r>
      </w:hyperlink>
    </w:p>
    <w:p w14:paraId="6FC2475B" w14:textId="77777777" w:rsidR="00960D78" w:rsidRPr="00960D78" w:rsidRDefault="00960D78" w:rsidP="00960D78">
      <w:pPr>
        <w:numPr>
          <w:ilvl w:val="0"/>
          <w:numId w:val="1"/>
        </w:numPr>
        <w:spacing w:after="0" w:line="240" w:lineRule="auto"/>
        <w:contextualSpacing/>
        <w:jc w:val="both"/>
        <w:rPr>
          <w:color w:val="000000" w:themeColor="text1"/>
        </w:rPr>
      </w:pPr>
      <w:r w:rsidRPr="00960D78">
        <w:rPr>
          <w:rFonts w:eastAsia="Arial"/>
          <w:color w:val="000000" w:themeColor="text1"/>
        </w:rPr>
        <w:t xml:space="preserve">Sites wishing to progress from Stage 2 to </w:t>
      </w:r>
      <w:hyperlink r:id="rId14" w:history="1">
        <w:r w:rsidRPr="00960D78">
          <w:rPr>
            <w:rFonts w:eastAsia="Arial"/>
            <w:color w:val="0563C1" w:themeColor="hyperlink"/>
            <w:u w:val="single"/>
          </w:rPr>
          <w:t>Stage 1</w:t>
        </w:r>
      </w:hyperlink>
    </w:p>
    <w:p w14:paraId="0B384FEB" w14:textId="77777777" w:rsidR="00960D78" w:rsidRPr="00960D78" w:rsidRDefault="00960D78" w:rsidP="00960D78">
      <w:pPr>
        <w:numPr>
          <w:ilvl w:val="0"/>
          <w:numId w:val="1"/>
        </w:numPr>
        <w:spacing w:after="0" w:line="240" w:lineRule="auto"/>
        <w:contextualSpacing/>
        <w:jc w:val="both"/>
        <w:rPr>
          <w:color w:val="000000" w:themeColor="text1"/>
        </w:rPr>
      </w:pPr>
      <w:r w:rsidRPr="00960D78">
        <w:rPr>
          <w:rFonts w:eastAsia="Arial"/>
          <w:color w:val="000000" w:themeColor="text1"/>
        </w:rPr>
        <w:t xml:space="preserve">Sites wishing to progress from Stage 3 to </w:t>
      </w:r>
      <w:hyperlink r:id="rId15" w:history="1">
        <w:r w:rsidRPr="00960D78">
          <w:rPr>
            <w:rFonts w:eastAsia="Arial"/>
            <w:color w:val="0563C1" w:themeColor="hyperlink"/>
            <w:u w:val="single"/>
          </w:rPr>
          <w:t>Stage 2</w:t>
        </w:r>
      </w:hyperlink>
      <w:r w:rsidRPr="00960D78">
        <w:rPr>
          <w:rFonts w:eastAsia="Arial"/>
          <w:color w:val="000000" w:themeColor="text1"/>
        </w:rPr>
        <w:t xml:space="preserve"> </w:t>
      </w:r>
    </w:p>
    <w:p w14:paraId="0A5EA68B" w14:textId="77777777" w:rsidR="00960D78" w:rsidRPr="00960D78" w:rsidRDefault="00960D78" w:rsidP="00960D78">
      <w:pPr>
        <w:spacing w:after="0" w:line="240" w:lineRule="auto"/>
        <w:jc w:val="both"/>
        <w:rPr>
          <w:rFonts w:ascii="Arial" w:eastAsia="Arial" w:hAnsi="Arial" w:cs="Arial"/>
          <w:color w:val="000000" w:themeColor="text1"/>
          <w:sz w:val="24"/>
          <w:szCs w:val="24"/>
        </w:rPr>
      </w:pPr>
    </w:p>
    <w:p w14:paraId="6C27D080" w14:textId="307F0011" w:rsidR="00960D78" w:rsidRPr="00960D78" w:rsidRDefault="00960D78" w:rsidP="00960D78">
      <w:pPr>
        <w:spacing w:after="0" w:line="240" w:lineRule="auto"/>
        <w:jc w:val="both"/>
        <w:rPr>
          <w:rFonts w:eastAsia="Arial"/>
          <w:b/>
          <w:bCs/>
          <w:color w:val="000000" w:themeColor="text1"/>
        </w:rPr>
      </w:pPr>
      <w:r w:rsidRPr="00960D78">
        <w:rPr>
          <w:rFonts w:eastAsia="Arial"/>
          <w:color w:val="000000" w:themeColor="text1"/>
        </w:rPr>
        <w:lastRenderedPageBreak/>
        <w:t xml:space="preserve">Establishments, when assessing which </w:t>
      </w:r>
      <w:proofErr w:type="gramStart"/>
      <w:r w:rsidRPr="00960D78">
        <w:rPr>
          <w:rFonts w:eastAsia="Arial"/>
          <w:color w:val="000000" w:themeColor="text1"/>
        </w:rPr>
        <w:t>Stage</w:t>
      </w:r>
      <w:proofErr w:type="gramEnd"/>
      <w:r w:rsidRPr="00960D78">
        <w:rPr>
          <w:rFonts w:eastAsia="Arial"/>
          <w:color w:val="000000" w:themeColor="text1"/>
        </w:rPr>
        <w:t xml:space="preserve"> they wish to progress to, should be mindful not to conflate and confuse </w:t>
      </w:r>
      <w:r w:rsidR="005C3EF7">
        <w:rPr>
          <w:rFonts w:eastAsia="Arial"/>
          <w:color w:val="000000" w:themeColor="text1"/>
        </w:rPr>
        <w:t>COVID</w:t>
      </w:r>
      <w:r w:rsidRPr="00960D78">
        <w:rPr>
          <w:rFonts w:eastAsia="Arial"/>
          <w:color w:val="000000" w:themeColor="text1"/>
        </w:rPr>
        <w:t xml:space="preserve"> controls with the management of wider regime constraints.</w:t>
      </w:r>
      <w:r w:rsidR="003F61EE">
        <w:rPr>
          <w:rFonts w:eastAsia="Arial"/>
          <w:color w:val="000000" w:themeColor="text1"/>
        </w:rPr>
        <w:t xml:space="preserve"> I</w:t>
      </w:r>
      <w:r w:rsidR="003F61EE">
        <w:t xml:space="preserve">t is understood that there may still be need for regime regression if there is a requirement for additional controls to be added to manage an outbreak risk.  The regression of regimes for staffing shortfalls should not be undertaken </w:t>
      </w:r>
      <w:r w:rsidR="005C3EF7">
        <w:t xml:space="preserve">with </w:t>
      </w:r>
      <w:r w:rsidR="003F61EE">
        <w:t xml:space="preserve">the </w:t>
      </w:r>
      <w:r w:rsidR="005C3EF7">
        <w:t>Regime Management Plan (RMP)</w:t>
      </w:r>
      <w:r w:rsidR="003F61EE">
        <w:t xml:space="preserve"> utilised instead.</w:t>
      </w:r>
    </w:p>
    <w:p w14:paraId="4E76AC92" w14:textId="77777777" w:rsidR="00960D78" w:rsidRPr="00960D78" w:rsidRDefault="00960D78" w:rsidP="00960D78">
      <w:pPr>
        <w:spacing w:after="0" w:line="240" w:lineRule="auto"/>
        <w:jc w:val="both"/>
        <w:rPr>
          <w:rFonts w:eastAsia="Arial"/>
          <w:b/>
          <w:bCs/>
          <w:color w:val="000000" w:themeColor="text1"/>
        </w:rPr>
      </w:pPr>
    </w:p>
    <w:p w14:paraId="39C7306F" w14:textId="77777777" w:rsidR="00960D78" w:rsidRPr="00960D78" w:rsidRDefault="00960D78" w:rsidP="00960D78">
      <w:pPr>
        <w:spacing w:after="0" w:line="240" w:lineRule="auto"/>
        <w:jc w:val="both"/>
        <w:rPr>
          <w:rFonts w:eastAsia="Arial"/>
          <w:b/>
          <w:bCs/>
          <w:color w:val="000000" w:themeColor="text1"/>
        </w:rPr>
      </w:pPr>
      <w:r w:rsidRPr="00960D78">
        <w:rPr>
          <w:rFonts w:eastAsia="Arial"/>
          <w:b/>
          <w:bCs/>
          <w:color w:val="000000" w:themeColor="text1"/>
        </w:rPr>
        <w:t>Trade Union Consultation</w:t>
      </w:r>
    </w:p>
    <w:p w14:paraId="2999F289" w14:textId="77777777" w:rsidR="00960D78" w:rsidRPr="00960D78" w:rsidRDefault="00960D78" w:rsidP="00960D78">
      <w:pPr>
        <w:shd w:val="clear" w:color="auto" w:fill="FFFFFF" w:themeFill="background1"/>
        <w:spacing w:after="0" w:line="240" w:lineRule="auto"/>
        <w:jc w:val="both"/>
        <w:rPr>
          <w:rFonts w:ascii="Calibri" w:eastAsia="Times New Roman" w:hAnsi="Calibri" w:cs="Calibri"/>
          <w:color w:val="201F1E"/>
          <w:lang w:eastAsia="en-GB"/>
        </w:rPr>
      </w:pPr>
      <w:bookmarkStart w:id="0" w:name="_GoBack"/>
      <w:bookmarkEnd w:id="0"/>
    </w:p>
    <w:p w14:paraId="11FA2DF1" w14:textId="30C9A260" w:rsidR="00960D78" w:rsidRPr="00960D78" w:rsidRDefault="00960D78" w:rsidP="00960D78">
      <w:pPr>
        <w:spacing w:after="0" w:line="240" w:lineRule="auto"/>
        <w:jc w:val="both"/>
        <w:rPr>
          <w:rFonts w:ascii="Calibri" w:eastAsia="Calibri" w:hAnsi="Calibri" w:cs="Calibri"/>
          <w:color w:val="000000" w:themeColor="text1"/>
          <w:lang w:val="en-US"/>
        </w:rPr>
      </w:pPr>
      <w:r w:rsidRPr="00960D78">
        <w:rPr>
          <w:rFonts w:ascii="Calibri" w:eastAsia="Calibri" w:hAnsi="Calibri" w:cs="Times New Roman"/>
        </w:rPr>
        <w:t xml:space="preserve">As part of their progression to Stage 1 </w:t>
      </w:r>
      <w:r w:rsidRPr="00960D78">
        <w:rPr>
          <w:rFonts w:ascii="Calibri" w:eastAsia="Calibri" w:hAnsi="Calibri" w:cs="Calibri"/>
          <w:color w:val="000000" w:themeColor="text1"/>
          <w:lang w:val="en-US"/>
        </w:rPr>
        <w:t xml:space="preserve">prisons and local health partners, Trade Union officials and other stakeholders should either work collaboratively to develop a local ‘Stage 1 day 1’ regime model around the new level of controls, and a Regime Summary agreed with PGD, </w:t>
      </w:r>
      <w:r w:rsidRPr="00960D78">
        <w:rPr>
          <w:rFonts w:ascii="Calibri" w:eastAsia="Calibri" w:hAnsi="Calibri" w:cs="Calibri"/>
          <w:i/>
          <w:iCs/>
          <w:color w:val="000000" w:themeColor="text1"/>
          <w:lang w:val="en-US"/>
        </w:rPr>
        <w:t>or</w:t>
      </w:r>
      <w:r w:rsidRPr="00960D78">
        <w:rPr>
          <w:rFonts w:ascii="Calibri" w:eastAsia="Calibri" w:hAnsi="Calibri" w:cs="Calibri"/>
          <w:color w:val="000000" w:themeColor="text1"/>
          <w:lang w:val="en-US"/>
        </w:rPr>
        <w:t xml:space="preserve"> to ensure their previous regime model for Stage 1 remains up to date and remains agreed by local Trade Unions. Sites who have previously moved to Stage 1 need only to review their previous Regime Model, new sites will need to complete a </w:t>
      </w:r>
      <w:hyperlink r:id="rId16" w:history="1">
        <w:r w:rsidRPr="003F61EE">
          <w:rPr>
            <w:rStyle w:val="Hyperlink"/>
            <w:rFonts w:ascii="Calibri" w:eastAsia="Calibri" w:hAnsi="Calibri" w:cs="Calibri"/>
            <w:lang w:val="en-US"/>
          </w:rPr>
          <w:t>Regime Model summary.</w:t>
        </w:r>
      </w:hyperlink>
      <w:r w:rsidRPr="00960D78">
        <w:rPr>
          <w:rFonts w:ascii="Calibri" w:eastAsia="Calibri" w:hAnsi="Calibri" w:cs="Calibri"/>
          <w:color w:val="000000" w:themeColor="text1"/>
          <w:lang w:val="en-US"/>
        </w:rPr>
        <w:t xml:space="preserve"> </w:t>
      </w:r>
    </w:p>
    <w:p w14:paraId="45C1248F" w14:textId="77777777" w:rsidR="00960D78" w:rsidRPr="00960D78" w:rsidRDefault="00960D78" w:rsidP="00960D78">
      <w:pPr>
        <w:spacing w:after="0" w:line="240" w:lineRule="auto"/>
        <w:jc w:val="both"/>
        <w:rPr>
          <w:rFonts w:ascii="Calibri" w:hAnsi="Calibri" w:cs="Times New Roman"/>
        </w:rPr>
      </w:pPr>
    </w:p>
    <w:p w14:paraId="1DA449A8" w14:textId="77777777" w:rsidR="00960D78" w:rsidRPr="00960D78" w:rsidRDefault="00960D78" w:rsidP="00960D78">
      <w:pPr>
        <w:spacing w:after="0" w:line="240" w:lineRule="auto"/>
        <w:jc w:val="both"/>
        <w:rPr>
          <w:rFonts w:ascii="Calibri" w:eastAsia="Calibri" w:hAnsi="Calibri" w:cs="Times New Roman"/>
          <w:b/>
          <w:bCs/>
          <w:lang w:val="en-US"/>
        </w:rPr>
      </w:pPr>
      <w:r w:rsidRPr="00960D78">
        <w:rPr>
          <w:rFonts w:ascii="Calibri" w:eastAsia="Calibri" w:hAnsi="Calibri" w:cs="Times New Roman"/>
          <w:b/>
          <w:bCs/>
          <w:lang w:val="en-US"/>
        </w:rPr>
        <w:t>Regime Mitigations</w:t>
      </w:r>
    </w:p>
    <w:p w14:paraId="42AA855A" w14:textId="77777777" w:rsidR="00960D78" w:rsidRPr="00960D78" w:rsidRDefault="00960D78" w:rsidP="00960D78">
      <w:pPr>
        <w:spacing w:after="0" w:line="240" w:lineRule="auto"/>
        <w:jc w:val="both"/>
        <w:rPr>
          <w:rFonts w:ascii="Calibri" w:hAnsi="Calibri" w:cs="Times New Roman"/>
        </w:rPr>
      </w:pPr>
    </w:p>
    <w:p w14:paraId="22CAA6F0" w14:textId="77777777" w:rsidR="00960D78" w:rsidRPr="00960D78" w:rsidRDefault="00960D78" w:rsidP="00960D78">
      <w:pPr>
        <w:spacing w:after="0" w:line="240" w:lineRule="auto"/>
        <w:jc w:val="both"/>
        <w:rPr>
          <w:rFonts w:ascii="Calibri" w:hAnsi="Calibri" w:cs="Times New Roman"/>
        </w:rPr>
      </w:pPr>
      <w:r w:rsidRPr="00960D78">
        <w:rPr>
          <w:rFonts w:ascii="Calibri" w:hAnsi="Calibri" w:cs="Times New Roman"/>
        </w:rPr>
        <w:t xml:space="preserve">Prisons should moreover expect and start to prepare for the removal of regime mitigations as a fuller, purposeful and beneficial regime returns. As sites progress through the National Framework, they should be planning their approach for winding these back. All central funding for regime mitigations will come to an end 31 March, therefore sites should aim to withdraw all mitigations before this deadline. Next week we will be providing further detail and information on this approach including supplementary comms materials and details of the planned extension process for those sites who require mitigations past the 31 March deadline. </w:t>
      </w:r>
    </w:p>
    <w:p w14:paraId="5373057A" w14:textId="77777777" w:rsidR="00960D78" w:rsidRPr="00960D78" w:rsidRDefault="00960D78" w:rsidP="00960D78">
      <w:pPr>
        <w:spacing w:after="0" w:line="240" w:lineRule="auto"/>
        <w:jc w:val="both"/>
        <w:rPr>
          <w:rFonts w:ascii="Calibri" w:eastAsia="Calibri" w:hAnsi="Calibri" w:cs="Times New Roman"/>
          <w:lang w:val="en-US"/>
        </w:rPr>
      </w:pPr>
    </w:p>
    <w:p w14:paraId="7EA5ED50" w14:textId="77777777" w:rsidR="00960D78" w:rsidRPr="00960D78" w:rsidRDefault="00960D78" w:rsidP="00960D78">
      <w:pPr>
        <w:spacing w:after="0" w:line="240" w:lineRule="auto"/>
        <w:rPr>
          <w:rFonts w:ascii="Calibri" w:hAnsi="Calibri" w:cs="Times New Roman"/>
          <w:b/>
          <w:bCs/>
        </w:rPr>
      </w:pPr>
      <w:r w:rsidRPr="00960D78">
        <w:rPr>
          <w:rFonts w:ascii="Calibri" w:hAnsi="Calibri" w:cs="Times New Roman"/>
          <w:b/>
          <w:bCs/>
        </w:rPr>
        <w:t>RMP and Progression</w:t>
      </w:r>
    </w:p>
    <w:p w14:paraId="3E8E07A7" w14:textId="77777777" w:rsidR="00960D78" w:rsidRPr="00960D78" w:rsidRDefault="00960D78" w:rsidP="00960D78">
      <w:pPr>
        <w:spacing w:after="0" w:line="240" w:lineRule="auto"/>
        <w:jc w:val="both"/>
        <w:rPr>
          <w:rFonts w:ascii="Calibri" w:eastAsia="Calibri" w:hAnsi="Calibri" w:cs="Times New Roman"/>
        </w:rPr>
      </w:pPr>
    </w:p>
    <w:p w14:paraId="69C87997" w14:textId="437B0A3B" w:rsidR="00960D78" w:rsidRPr="00960D78" w:rsidRDefault="00960D78" w:rsidP="00960D78">
      <w:pPr>
        <w:spacing w:after="0" w:line="240" w:lineRule="auto"/>
        <w:jc w:val="both"/>
      </w:pPr>
      <w:r>
        <w:rPr>
          <w:rFonts w:ascii="Calibri" w:hAnsi="Calibri" w:cs="Times New Roman"/>
        </w:rPr>
        <w:t>P</w:t>
      </w:r>
      <w:r w:rsidRPr="00960D78">
        <w:rPr>
          <w:rFonts w:ascii="Calibri" w:hAnsi="Calibri" w:cs="Times New Roman"/>
        </w:rPr>
        <w:t xml:space="preserve">risons must either review an existing or complete a new RMP as part of their progression to Stage 1. Once reviewed, the RMP must be robust, completed and in place, used to support delivery of Stage 1. They should be bolstered by engagement logs, and prisons should consider that training may need to be completed for RMP processes. There will be further comms </w:t>
      </w:r>
      <w:proofErr w:type="gramStart"/>
      <w:r w:rsidRPr="00960D78">
        <w:rPr>
          <w:rFonts w:ascii="Calibri" w:hAnsi="Calibri" w:cs="Times New Roman"/>
        </w:rPr>
        <w:t>in the near future</w:t>
      </w:r>
      <w:proofErr w:type="gramEnd"/>
      <w:r w:rsidRPr="00960D78">
        <w:rPr>
          <w:rFonts w:ascii="Calibri" w:hAnsi="Calibri" w:cs="Times New Roman"/>
        </w:rPr>
        <w:t xml:space="preserve"> on the role of RMP and the support being offered nationally/regionally involving TUs to utilise Regime Management Planning correctly and as much as possible. With direct trade union involvement, An RMP support package is being assembled to ease this process of development and implementation.  T</w:t>
      </w:r>
      <w:r w:rsidRPr="00960D78">
        <w:t xml:space="preserve">his is in line with the expectation that the RMP will be increasingly significant in relation to regime and resource management and safety, with the challenge being more resource-focussed as COVID controls ebb and we consider our next steps. </w:t>
      </w:r>
    </w:p>
    <w:p w14:paraId="4AED9396" w14:textId="77777777" w:rsidR="00960D78" w:rsidRPr="00960D78" w:rsidRDefault="00960D78" w:rsidP="00960D78">
      <w:pPr>
        <w:spacing w:after="0" w:line="240" w:lineRule="auto"/>
        <w:jc w:val="both"/>
      </w:pPr>
    </w:p>
    <w:p w14:paraId="1743B364" w14:textId="77777777" w:rsidR="00960D78" w:rsidRPr="00960D78" w:rsidRDefault="00960D78" w:rsidP="00960D78">
      <w:pPr>
        <w:spacing w:after="0" w:line="240" w:lineRule="auto"/>
        <w:jc w:val="both"/>
      </w:pPr>
      <w:r w:rsidRPr="00960D78">
        <w:t xml:space="preserve">Details of the Process and considerations that must be taken as part of your progression decision, and a Stage 1 Regime Summary template are included below. Full guidance on Stage 1 can be found </w:t>
      </w:r>
      <w:hyperlink r:id="rId17" w:history="1">
        <w:r w:rsidRPr="00960D78">
          <w:rPr>
            <w:color w:val="0563C1" w:themeColor="hyperlink"/>
            <w:u w:val="single"/>
          </w:rPr>
          <w:t>here</w:t>
        </w:r>
      </w:hyperlink>
      <w:r w:rsidRPr="00960D78">
        <w:t xml:space="preserve">. </w:t>
      </w:r>
    </w:p>
    <w:p w14:paraId="1B45CB43" w14:textId="77777777" w:rsidR="00960D78" w:rsidRPr="00960D78" w:rsidRDefault="00960D78" w:rsidP="00960D78">
      <w:pPr>
        <w:spacing w:after="0" w:line="240" w:lineRule="auto"/>
        <w:jc w:val="both"/>
        <w:rPr>
          <w:rFonts w:cstheme="minorHAnsi"/>
          <w:highlight w:val="yellow"/>
        </w:rPr>
      </w:pPr>
    </w:p>
    <w:p w14:paraId="5F938B33" w14:textId="77777777" w:rsidR="00960D78" w:rsidRPr="00960D78" w:rsidRDefault="00960D78" w:rsidP="00960D78">
      <w:pPr>
        <w:rPr>
          <w:rFonts w:ascii="Calibri" w:hAnsi="Calibri" w:cs="Times New Roman"/>
        </w:rPr>
      </w:pPr>
      <w:r w:rsidRPr="00960D78">
        <w:t xml:space="preserve">If you have any queries, please discuss with your PGD, or contact </w:t>
      </w:r>
      <w:hyperlink r:id="rId18" w:history="1">
        <w:r w:rsidRPr="00960D78">
          <w:rPr>
            <w:color w:val="0563C1" w:themeColor="hyperlink"/>
            <w:u w:val="single"/>
          </w:rPr>
          <w:t>COVID19Ops&amp;Guidance1@justice.gov.uk</w:t>
        </w:r>
      </w:hyperlink>
    </w:p>
    <w:p w14:paraId="3A5016C5" w14:textId="77777777" w:rsidR="00960D78" w:rsidRPr="00960D78" w:rsidRDefault="00960D78" w:rsidP="00960D78">
      <w:pPr>
        <w:spacing w:after="0" w:line="240" w:lineRule="auto"/>
        <w:jc w:val="both"/>
      </w:pPr>
    </w:p>
    <w:bookmarkStart w:id="1" w:name="_MON_1707298344"/>
    <w:bookmarkEnd w:id="1"/>
    <w:p w14:paraId="2D8644FB" w14:textId="54908DBD" w:rsidR="00960D78" w:rsidRPr="00960D78" w:rsidRDefault="003F61EE" w:rsidP="00960D78">
      <w:pPr>
        <w:spacing w:after="0" w:line="240" w:lineRule="auto"/>
        <w:jc w:val="both"/>
      </w:pPr>
      <w:r w:rsidRPr="00960D78">
        <w:object w:dxaOrig="1530" w:dyaOrig="992" w14:anchorId="20DF0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4pt" o:ole="">
            <v:imagedata r:id="rId19" o:title=""/>
          </v:shape>
          <o:OLEObject Type="Embed" ProgID="Word.Document.12" ShapeID="_x0000_i1025" DrawAspect="Icon" ObjectID="_1707311818" r:id="rId20">
            <o:FieldCodes>\s</o:FieldCodes>
          </o:OLEObject>
        </w:object>
      </w:r>
      <w:r w:rsidR="00960D78" w:rsidRPr="00960D78">
        <w:t xml:space="preserve">   </w:t>
      </w:r>
      <w:r>
        <w:object w:dxaOrig="1530" w:dyaOrig="992" w14:anchorId="73D702BD">
          <v:shape id="_x0000_i1026" type="#_x0000_t75" style="width:76.75pt;height:49.4pt" o:ole="">
            <v:imagedata r:id="rId21" o:title=""/>
          </v:shape>
          <o:OLEObject Type="Embed" ProgID="Word.Document.12" ShapeID="_x0000_i1026" DrawAspect="Icon" ObjectID="_1707311819" r:id="rId22">
            <o:FieldCodes>\s</o:FieldCodes>
          </o:OLEObject>
        </w:object>
      </w:r>
    </w:p>
    <w:p w14:paraId="13111A9E" w14:textId="77777777" w:rsidR="00960D78" w:rsidRPr="00960D78" w:rsidRDefault="00960D78" w:rsidP="00960D78">
      <w:pPr>
        <w:spacing w:after="0" w:line="240" w:lineRule="auto"/>
        <w:jc w:val="both"/>
      </w:pPr>
    </w:p>
    <w:p w14:paraId="5AD1FC1C" w14:textId="77777777" w:rsidR="009D1A95" w:rsidRDefault="005C3EF7"/>
    <w:sectPr w:rsidR="009D1A9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7AFD" w14:textId="77777777" w:rsidR="000342D4" w:rsidRDefault="000342D4">
      <w:pPr>
        <w:spacing w:after="0" w:line="240" w:lineRule="auto"/>
      </w:pPr>
      <w:r>
        <w:separator/>
      </w:r>
    </w:p>
  </w:endnote>
  <w:endnote w:type="continuationSeparator" w:id="0">
    <w:p w14:paraId="5833BCF7" w14:textId="77777777" w:rsidR="000342D4" w:rsidRDefault="0003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CE6C" w14:textId="77777777" w:rsidR="005D67F5" w:rsidRDefault="005C3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4F42" w14:textId="77777777" w:rsidR="005D67F5" w:rsidRDefault="005C3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7CF" w14:textId="77777777" w:rsidR="005D67F5" w:rsidRDefault="005C3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827F5" w14:textId="77777777" w:rsidR="000342D4" w:rsidRDefault="000342D4">
      <w:pPr>
        <w:spacing w:after="0" w:line="240" w:lineRule="auto"/>
      </w:pPr>
      <w:r>
        <w:separator/>
      </w:r>
    </w:p>
  </w:footnote>
  <w:footnote w:type="continuationSeparator" w:id="0">
    <w:p w14:paraId="673D0F82" w14:textId="77777777" w:rsidR="000342D4" w:rsidRDefault="0003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F50C" w14:textId="77777777" w:rsidR="005D67F5" w:rsidRDefault="005C3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A0E3" w14:textId="2E44DB60" w:rsidR="005D67F5" w:rsidRDefault="005C3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5C57" w14:textId="77777777" w:rsidR="005D67F5" w:rsidRDefault="005C3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476D"/>
    <w:multiLevelType w:val="hybridMultilevel"/>
    <w:tmpl w:val="FFFFFFFF"/>
    <w:lvl w:ilvl="0" w:tplc="DFF679D4">
      <w:start w:val="1"/>
      <w:numFmt w:val="bullet"/>
      <w:lvlText w:val=""/>
      <w:lvlJc w:val="left"/>
      <w:pPr>
        <w:ind w:left="720" w:hanging="360"/>
      </w:pPr>
      <w:rPr>
        <w:rFonts w:ascii="Symbol" w:hAnsi="Symbol" w:hint="default"/>
      </w:rPr>
    </w:lvl>
    <w:lvl w:ilvl="1" w:tplc="440011D2">
      <w:start w:val="1"/>
      <w:numFmt w:val="bullet"/>
      <w:lvlText w:val="o"/>
      <w:lvlJc w:val="left"/>
      <w:pPr>
        <w:ind w:left="1440" w:hanging="360"/>
      </w:pPr>
      <w:rPr>
        <w:rFonts w:ascii="Courier New" w:hAnsi="Courier New" w:hint="default"/>
      </w:rPr>
    </w:lvl>
    <w:lvl w:ilvl="2" w:tplc="EB50FF0C">
      <w:start w:val="1"/>
      <w:numFmt w:val="bullet"/>
      <w:lvlText w:val=""/>
      <w:lvlJc w:val="left"/>
      <w:pPr>
        <w:ind w:left="2160" w:hanging="360"/>
      </w:pPr>
      <w:rPr>
        <w:rFonts w:ascii="Wingdings" w:hAnsi="Wingdings" w:hint="default"/>
      </w:rPr>
    </w:lvl>
    <w:lvl w:ilvl="3" w:tplc="323A6770">
      <w:start w:val="1"/>
      <w:numFmt w:val="bullet"/>
      <w:lvlText w:val=""/>
      <w:lvlJc w:val="left"/>
      <w:pPr>
        <w:ind w:left="2880" w:hanging="360"/>
      </w:pPr>
      <w:rPr>
        <w:rFonts w:ascii="Symbol" w:hAnsi="Symbol" w:hint="default"/>
      </w:rPr>
    </w:lvl>
    <w:lvl w:ilvl="4" w:tplc="9EA254C8">
      <w:start w:val="1"/>
      <w:numFmt w:val="bullet"/>
      <w:lvlText w:val="o"/>
      <w:lvlJc w:val="left"/>
      <w:pPr>
        <w:ind w:left="3600" w:hanging="360"/>
      </w:pPr>
      <w:rPr>
        <w:rFonts w:ascii="Courier New" w:hAnsi="Courier New" w:hint="default"/>
      </w:rPr>
    </w:lvl>
    <w:lvl w:ilvl="5" w:tplc="DC8EC380">
      <w:start w:val="1"/>
      <w:numFmt w:val="bullet"/>
      <w:lvlText w:val=""/>
      <w:lvlJc w:val="left"/>
      <w:pPr>
        <w:ind w:left="4320" w:hanging="360"/>
      </w:pPr>
      <w:rPr>
        <w:rFonts w:ascii="Wingdings" w:hAnsi="Wingdings" w:hint="default"/>
      </w:rPr>
    </w:lvl>
    <w:lvl w:ilvl="6" w:tplc="A66C0CF0">
      <w:start w:val="1"/>
      <w:numFmt w:val="bullet"/>
      <w:lvlText w:val=""/>
      <w:lvlJc w:val="left"/>
      <w:pPr>
        <w:ind w:left="5040" w:hanging="360"/>
      </w:pPr>
      <w:rPr>
        <w:rFonts w:ascii="Symbol" w:hAnsi="Symbol" w:hint="default"/>
      </w:rPr>
    </w:lvl>
    <w:lvl w:ilvl="7" w:tplc="B47EE190">
      <w:start w:val="1"/>
      <w:numFmt w:val="bullet"/>
      <w:lvlText w:val="o"/>
      <w:lvlJc w:val="left"/>
      <w:pPr>
        <w:ind w:left="5760" w:hanging="360"/>
      </w:pPr>
      <w:rPr>
        <w:rFonts w:ascii="Courier New" w:hAnsi="Courier New" w:hint="default"/>
      </w:rPr>
    </w:lvl>
    <w:lvl w:ilvl="8" w:tplc="1320255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78"/>
    <w:rsid w:val="000342D4"/>
    <w:rsid w:val="000E239A"/>
    <w:rsid w:val="003F61EE"/>
    <w:rsid w:val="00545892"/>
    <w:rsid w:val="005C3EF7"/>
    <w:rsid w:val="00692FC2"/>
    <w:rsid w:val="006C4E43"/>
    <w:rsid w:val="00921FA6"/>
    <w:rsid w:val="00960D78"/>
    <w:rsid w:val="00E1657C"/>
    <w:rsid w:val="00FC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19191"/>
  <w15:chartTrackingRefBased/>
  <w15:docId w15:val="{8BD5D232-E731-4202-ACE8-4B113934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0D78"/>
    <w:pPr>
      <w:spacing w:line="240" w:lineRule="auto"/>
    </w:pPr>
    <w:rPr>
      <w:sz w:val="20"/>
      <w:szCs w:val="20"/>
    </w:rPr>
  </w:style>
  <w:style w:type="character" w:customStyle="1" w:styleId="CommentTextChar">
    <w:name w:val="Comment Text Char"/>
    <w:basedOn w:val="DefaultParagraphFont"/>
    <w:link w:val="CommentText"/>
    <w:uiPriority w:val="99"/>
    <w:rsid w:val="00960D78"/>
    <w:rPr>
      <w:sz w:val="20"/>
      <w:szCs w:val="20"/>
    </w:rPr>
  </w:style>
  <w:style w:type="character" w:styleId="CommentReference">
    <w:name w:val="annotation reference"/>
    <w:basedOn w:val="DefaultParagraphFont"/>
    <w:uiPriority w:val="99"/>
    <w:semiHidden/>
    <w:unhideWhenUsed/>
    <w:rsid w:val="00960D78"/>
    <w:rPr>
      <w:sz w:val="16"/>
      <w:szCs w:val="16"/>
    </w:rPr>
  </w:style>
  <w:style w:type="paragraph" w:styleId="Header">
    <w:name w:val="header"/>
    <w:basedOn w:val="Normal"/>
    <w:link w:val="HeaderChar"/>
    <w:uiPriority w:val="99"/>
    <w:unhideWhenUsed/>
    <w:rsid w:val="00960D78"/>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960D78"/>
    <w:rPr>
      <w:rFonts w:ascii="Calibri" w:hAnsi="Calibri" w:cs="Times New Roman"/>
    </w:rPr>
  </w:style>
  <w:style w:type="paragraph" w:styleId="Footer">
    <w:name w:val="footer"/>
    <w:basedOn w:val="Normal"/>
    <w:link w:val="FooterChar"/>
    <w:uiPriority w:val="99"/>
    <w:unhideWhenUsed/>
    <w:rsid w:val="00960D78"/>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960D78"/>
    <w:rPr>
      <w:rFonts w:ascii="Calibri" w:hAnsi="Calibri" w:cs="Times New Roman"/>
    </w:rPr>
  </w:style>
  <w:style w:type="paragraph" w:styleId="BalloonText">
    <w:name w:val="Balloon Text"/>
    <w:basedOn w:val="Normal"/>
    <w:link w:val="BalloonTextChar"/>
    <w:uiPriority w:val="99"/>
    <w:semiHidden/>
    <w:unhideWhenUsed/>
    <w:rsid w:val="0096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78"/>
    <w:rPr>
      <w:rFonts w:ascii="Segoe UI" w:hAnsi="Segoe UI" w:cs="Segoe UI"/>
      <w:sz w:val="18"/>
      <w:szCs w:val="18"/>
    </w:rPr>
  </w:style>
  <w:style w:type="character" w:styleId="Hyperlink">
    <w:name w:val="Hyperlink"/>
    <w:basedOn w:val="DefaultParagraphFont"/>
    <w:uiPriority w:val="99"/>
    <w:unhideWhenUsed/>
    <w:rsid w:val="003F61EE"/>
    <w:rPr>
      <w:color w:val="0563C1" w:themeColor="hyperlink"/>
      <w:u w:val="single"/>
    </w:rPr>
  </w:style>
  <w:style w:type="character" w:styleId="UnresolvedMention">
    <w:name w:val="Unresolved Mention"/>
    <w:basedOn w:val="DefaultParagraphFont"/>
    <w:uiPriority w:val="99"/>
    <w:semiHidden/>
    <w:unhideWhenUsed/>
    <w:rsid w:val="003F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gp.hmppsintranet.org.uk/stage-1/" TargetMode="External"/><Relationship Id="rId18" Type="http://schemas.openxmlformats.org/officeDocument/2006/relationships/hyperlink" Target="mailto:COVID19Ops&amp;Guidance1@justice.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s://pogp.hmppsintranet.org.uk/2020/09/28/heat-map-for-reverse-cohorting-requirements-to-review-regime/" TargetMode="External"/><Relationship Id="rId17" Type="http://schemas.openxmlformats.org/officeDocument/2006/relationships/hyperlink" Target="https://pogp.hmppsintranet.org.uk/stage-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kpe75c\OneDrive%20-%20Ministry%20of%20Justice\GOLD%20briefings\STAGE%201%20PREP\Stage%201%20summary%20Template.docx" TargetMode="External"/><Relationship Id="rId20" Type="http://schemas.openxmlformats.org/officeDocument/2006/relationships/package" Target="embeddings/Microsoft_Word_Document.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iceuk-my.sharepoint.com/personal/maria_harcourt1_justice_gov_uk/Documents/GOLD%20briefings/DIGEST%202022.02.04/Gold%20Briefing%20%20Updates%20to%20Outbreak%20Management%20and%20Mass%20Testing%20Guidance%20(04.02.22).doc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ogp.hmppsintranet.org.uk/stage-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ogp.hmppsintranet.org.uk/2020/04/15/safe-operating-procedures-sop-using-ppe/"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gp.hmppsintranet.org.uk/stage-1/" TargetMode="External"/><Relationship Id="rId22" Type="http://schemas.openxmlformats.org/officeDocument/2006/relationships/package" Target="embeddings/Microsoft_Word_Document1.docx"/><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4" ma:contentTypeDescription="Create a new document." ma:contentTypeScope="" ma:versionID="138f02110e411e09cc86ebaf136831ce">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e5cc967bae212718b4aca9691b28a8e4"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EDDB6-5CBA-4717-A4E5-A2F2701869D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0b4204d-8db7-4809-a4c4-7914704a9d2c"/>
    <ds:schemaRef ds:uri="b010cd66-f127-4841-bac0-4c0fad6dd233"/>
    <ds:schemaRef ds:uri="http://www.w3.org/XML/1998/namespace"/>
    <ds:schemaRef ds:uri="http://purl.org/dc/dcmitype/"/>
  </ds:schemaRefs>
</ds:datastoreItem>
</file>

<file path=customXml/itemProps2.xml><?xml version="1.0" encoding="utf-8"?>
<ds:datastoreItem xmlns:ds="http://schemas.openxmlformats.org/officeDocument/2006/customXml" ds:itemID="{B95D9F69-3552-4CB2-B3E4-F82D1E8D8322}">
  <ds:schemaRefs>
    <ds:schemaRef ds:uri="http://schemas.microsoft.com/sharepoint/v3/contenttype/forms"/>
  </ds:schemaRefs>
</ds:datastoreItem>
</file>

<file path=customXml/itemProps3.xml><?xml version="1.0" encoding="utf-8"?>
<ds:datastoreItem xmlns:ds="http://schemas.openxmlformats.org/officeDocument/2006/customXml" ds:itemID="{DC2C3D8B-E60B-46D3-9F24-CDE1B6DB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966</Words>
  <Characters>5508</Characters>
  <Application>Microsoft Office Word</Application>
  <DocSecurity>4</DocSecurity>
  <Lines>45</Lines>
  <Paragraphs>12</Paragraphs>
  <ScaleCrop>false</ScaleCrop>
  <Company>MOJ</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Cornmell, Ed</cp:lastModifiedBy>
  <cp:revision>2</cp:revision>
  <dcterms:created xsi:type="dcterms:W3CDTF">2022-02-25T16:31:00Z</dcterms:created>
  <dcterms:modified xsi:type="dcterms:W3CDTF">2022-02-25T16:31:00Z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