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0468" w14:textId="640048D2" w:rsidR="002A0F27" w:rsidRPr="00925774" w:rsidRDefault="00E141C2" w:rsidP="00BE3FBC">
      <w:pPr>
        <w:spacing w:line="240" w:lineRule="auto"/>
        <w:rPr>
          <w:rFonts w:cstheme="minorHAnsi"/>
          <w:b/>
          <w:bCs/>
          <w:highlight w:val="yellow"/>
          <w:u w:val="single"/>
        </w:rPr>
      </w:pPr>
      <w:r w:rsidRPr="00925774">
        <w:rPr>
          <w:rFonts w:cstheme="minorHAnsi"/>
          <w:b/>
          <w:bCs/>
          <w:u w:val="single"/>
        </w:rPr>
        <w:t xml:space="preserve">Gold Brief </w:t>
      </w:r>
      <w:r w:rsidR="005A468A">
        <w:rPr>
          <w:rFonts w:cstheme="minorHAnsi"/>
          <w:b/>
          <w:bCs/>
          <w:u w:val="single"/>
        </w:rPr>
        <w:t>16</w:t>
      </w:r>
      <w:r w:rsidR="005804C7" w:rsidRPr="00925774">
        <w:rPr>
          <w:rFonts w:cstheme="minorHAnsi"/>
          <w:b/>
          <w:bCs/>
          <w:u w:val="single"/>
        </w:rPr>
        <w:t xml:space="preserve"> December</w:t>
      </w:r>
      <w:r w:rsidR="709F70C6" w:rsidRPr="00925774">
        <w:rPr>
          <w:rFonts w:cstheme="minorHAnsi"/>
          <w:b/>
          <w:bCs/>
          <w:u w:val="single"/>
        </w:rPr>
        <w:t xml:space="preserve"> 2021 </w:t>
      </w:r>
      <w:r w:rsidRPr="00925774">
        <w:rPr>
          <w:rFonts w:cstheme="minorHAnsi"/>
          <w:b/>
          <w:bCs/>
          <w:u w:val="single"/>
        </w:rPr>
        <w:t xml:space="preserve">- </w:t>
      </w:r>
      <w:r w:rsidR="6E634F61" w:rsidRPr="00925774">
        <w:rPr>
          <w:rFonts w:cstheme="minorHAnsi"/>
          <w:b/>
          <w:bCs/>
          <w:u w:val="single"/>
        </w:rPr>
        <w:t>Update on</w:t>
      </w:r>
      <w:r w:rsidRPr="00925774">
        <w:rPr>
          <w:rFonts w:cstheme="minorHAnsi"/>
          <w:b/>
          <w:bCs/>
          <w:u w:val="single"/>
        </w:rPr>
        <w:t xml:space="preserve"> </w:t>
      </w:r>
      <w:r w:rsidR="00A232B4" w:rsidRPr="00925774">
        <w:rPr>
          <w:rFonts w:cstheme="minorHAnsi"/>
          <w:b/>
          <w:bCs/>
          <w:u w:val="single"/>
        </w:rPr>
        <w:t xml:space="preserve">Regime Mitigations </w:t>
      </w:r>
    </w:p>
    <w:p w14:paraId="2C9AEAD9" w14:textId="37C15552" w:rsidR="00BE3FBC" w:rsidRPr="00925774" w:rsidRDefault="00D622DF" w:rsidP="00BE3FBC">
      <w:pPr>
        <w:spacing w:line="240" w:lineRule="auto"/>
        <w:rPr>
          <w:rFonts w:cstheme="minorHAnsi"/>
          <w:u w:val="single"/>
        </w:rPr>
      </w:pPr>
      <w:r w:rsidRPr="00925774">
        <w:rPr>
          <w:rFonts w:cstheme="minorHAnsi"/>
          <w:u w:val="single"/>
        </w:rPr>
        <w:t>Purpose</w:t>
      </w:r>
      <w:r w:rsidR="00A232B4" w:rsidRPr="00925774">
        <w:rPr>
          <w:rFonts w:cstheme="minorHAnsi"/>
          <w:u w:val="single"/>
        </w:rPr>
        <w:t xml:space="preserve"> </w:t>
      </w:r>
    </w:p>
    <w:p w14:paraId="7B5D8D99" w14:textId="30FBF407" w:rsidR="00CC22C7" w:rsidRPr="00925774" w:rsidRDefault="006C1C35" w:rsidP="00BC0C7E">
      <w:pPr>
        <w:spacing w:line="240" w:lineRule="auto"/>
        <w:rPr>
          <w:rFonts w:cstheme="minorHAnsi"/>
        </w:rPr>
      </w:pPr>
      <w:r w:rsidRPr="00925774">
        <w:rPr>
          <w:rFonts w:cstheme="minorHAnsi"/>
        </w:rPr>
        <w:t xml:space="preserve">The purpose of this briefing is to update you on the process for reintroducing regime mitigations. </w:t>
      </w:r>
      <w:proofErr w:type="gramStart"/>
      <w:r w:rsidR="00CC22C7" w:rsidRPr="00925774">
        <w:rPr>
          <w:rFonts w:cstheme="minorHAnsi"/>
        </w:rPr>
        <w:t>In light of</w:t>
      </w:r>
      <w:proofErr w:type="gramEnd"/>
      <w:r w:rsidR="00CC22C7" w:rsidRPr="00925774">
        <w:rPr>
          <w:rFonts w:cstheme="minorHAnsi"/>
        </w:rPr>
        <w:t xml:space="preserve"> current </w:t>
      </w:r>
      <w:r w:rsidR="00EA333C" w:rsidRPr="00925774">
        <w:rPr>
          <w:rFonts w:cstheme="minorHAnsi"/>
        </w:rPr>
        <w:t>circumstances,</w:t>
      </w:r>
      <w:r w:rsidR="00CC22C7" w:rsidRPr="00925774">
        <w:rPr>
          <w:rFonts w:cstheme="minorHAnsi"/>
        </w:rPr>
        <w:t xml:space="preserve"> we have reviewed our approach</w:t>
      </w:r>
      <w:r w:rsidR="00CF6926" w:rsidRPr="00925774">
        <w:rPr>
          <w:rFonts w:cstheme="minorHAnsi"/>
        </w:rPr>
        <w:t xml:space="preserve">. Although regime mitigations will not by default be made available across the estate, </w:t>
      </w:r>
      <w:r w:rsidR="00CF6926" w:rsidRPr="00925774">
        <w:rPr>
          <w:rFonts w:cstheme="minorHAnsi"/>
          <w:b/>
          <w:bCs/>
          <w:u w:val="single"/>
        </w:rPr>
        <w:t xml:space="preserve">we will </w:t>
      </w:r>
      <w:r w:rsidR="00CC22C7" w:rsidRPr="00925774">
        <w:rPr>
          <w:rFonts w:cstheme="minorHAnsi"/>
          <w:b/>
          <w:bCs/>
          <w:u w:val="single"/>
        </w:rPr>
        <w:t>to continue to allow individual sites to request the reintroduction of regime mitigations where local circumstances require i</w:t>
      </w:r>
      <w:r w:rsidR="00640022" w:rsidRPr="00925774">
        <w:rPr>
          <w:rFonts w:cstheme="minorHAnsi"/>
          <w:b/>
          <w:bCs/>
          <w:u w:val="single"/>
        </w:rPr>
        <w:t>t</w:t>
      </w:r>
      <w:r w:rsidR="00640022" w:rsidRPr="00925774">
        <w:rPr>
          <w:rFonts w:cstheme="minorHAnsi"/>
        </w:rPr>
        <w:t>, simplifying th</w:t>
      </w:r>
      <w:r w:rsidR="00D513BB" w:rsidRPr="00925774">
        <w:rPr>
          <w:rFonts w:cstheme="minorHAnsi"/>
        </w:rPr>
        <w:t xml:space="preserve">e </w:t>
      </w:r>
      <w:r w:rsidR="00640022" w:rsidRPr="00925774">
        <w:rPr>
          <w:rFonts w:cstheme="minorHAnsi"/>
        </w:rPr>
        <w:t xml:space="preserve">application process </w:t>
      </w:r>
      <w:r w:rsidR="00CC22C7" w:rsidRPr="00925774">
        <w:rPr>
          <w:rFonts w:cstheme="minorHAnsi"/>
        </w:rPr>
        <w:t>based on your feedback.</w:t>
      </w:r>
    </w:p>
    <w:p w14:paraId="53F2A287" w14:textId="5D7D582E" w:rsidR="0034768D" w:rsidRPr="00925774" w:rsidRDefault="00CC22C7" w:rsidP="0073450B">
      <w:pPr>
        <w:spacing w:line="240" w:lineRule="auto"/>
        <w:rPr>
          <w:rFonts w:cstheme="minorHAnsi"/>
        </w:rPr>
      </w:pPr>
      <w:r w:rsidRPr="00925774">
        <w:rPr>
          <w:rFonts w:cstheme="minorHAnsi"/>
        </w:rPr>
        <w:t>A national reintroduction of regime mitigations would only be pursued in the event of a national reversion of establishments to Stage 3 or Stage 4 of the Framework, in line with the original intent and purpose of these mitigations.</w:t>
      </w:r>
    </w:p>
    <w:p w14:paraId="056D3D8B" w14:textId="7C01CE3F" w:rsidR="003358AC" w:rsidRPr="00925774" w:rsidRDefault="003358AC" w:rsidP="0073450B">
      <w:pPr>
        <w:spacing w:line="240" w:lineRule="auto"/>
        <w:rPr>
          <w:rFonts w:cstheme="minorHAnsi"/>
          <w:u w:val="single"/>
        </w:rPr>
      </w:pPr>
      <w:r w:rsidRPr="00925774">
        <w:rPr>
          <w:rFonts w:cstheme="minorHAnsi"/>
          <w:u w:val="single"/>
        </w:rPr>
        <w:t xml:space="preserve">Process for </w:t>
      </w:r>
      <w:r w:rsidR="008123F3" w:rsidRPr="00925774">
        <w:rPr>
          <w:rFonts w:cstheme="minorHAnsi"/>
          <w:u w:val="single"/>
        </w:rPr>
        <w:t xml:space="preserve">Individual Sites to Request </w:t>
      </w:r>
      <w:r w:rsidRPr="00925774">
        <w:rPr>
          <w:rFonts w:cstheme="minorHAnsi"/>
          <w:u w:val="single"/>
        </w:rPr>
        <w:t>Reintroduc</w:t>
      </w:r>
      <w:r w:rsidR="009652EE" w:rsidRPr="00925774">
        <w:rPr>
          <w:rFonts w:cstheme="minorHAnsi"/>
          <w:u w:val="single"/>
        </w:rPr>
        <w:t>tion of</w:t>
      </w:r>
      <w:r w:rsidRPr="00925774">
        <w:rPr>
          <w:rFonts w:cstheme="minorHAnsi"/>
          <w:u w:val="single"/>
        </w:rPr>
        <w:t xml:space="preserve"> Mitigations</w:t>
      </w:r>
      <w:r w:rsidR="009A422E" w:rsidRPr="00925774">
        <w:rPr>
          <w:rFonts w:cstheme="minorHAnsi"/>
          <w:u w:val="single"/>
        </w:rPr>
        <w:t xml:space="preserve"> </w:t>
      </w:r>
    </w:p>
    <w:p w14:paraId="528912E2" w14:textId="1D60E423" w:rsidR="009B098E" w:rsidRPr="00925774" w:rsidRDefault="009B098E" w:rsidP="0073450B">
      <w:pPr>
        <w:spacing w:line="240" w:lineRule="auto"/>
        <w:rPr>
          <w:rFonts w:cstheme="minorHAnsi"/>
        </w:rPr>
      </w:pPr>
      <w:r w:rsidRPr="00925774">
        <w:rPr>
          <w:rFonts w:cstheme="minorHAnsi"/>
        </w:rPr>
        <w:t xml:space="preserve">These </w:t>
      </w:r>
      <w:r w:rsidR="00677F14" w:rsidRPr="00925774">
        <w:rPr>
          <w:rFonts w:cstheme="minorHAnsi"/>
        </w:rPr>
        <w:t xml:space="preserve">regime </w:t>
      </w:r>
      <w:r w:rsidRPr="00925774">
        <w:rPr>
          <w:rFonts w:cstheme="minorHAnsi"/>
        </w:rPr>
        <w:t>mitigations</w:t>
      </w:r>
      <w:r w:rsidR="005804C7" w:rsidRPr="00925774">
        <w:rPr>
          <w:rFonts w:cstheme="minorHAnsi"/>
        </w:rPr>
        <w:t xml:space="preserve"> (see details of each in </w:t>
      </w:r>
      <w:r w:rsidR="005804C7" w:rsidRPr="00925774">
        <w:rPr>
          <w:rFonts w:cstheme="minorHAnsi"/>
          <w:b/>
          <w:bCs/>
        </w:rPr>
        <w:t>Annex A</w:t>
      </w:r>
      <w:r w:rsidR="005804C7" w:rsidRPr="00925774">
        <w:rPr>
          <w:rFonts w:cstheme="minorHAnsi"/>
        </w:rPr>
        <w:t>)</w:t>
      </w:r>
      <w:r w:rsidRPr="00925774">
        <w:rPr>
          <w:rFonts w:cstheme="minorHAnsi"/>
        </w:rPr>
        <w:t xml:space="preserve"> were introduced as a temporary measure to combat the impact of restrictions on prisoners and the consequent negative impact on their mental health and wellbeing. </w:t>
      </w:r>
      <w:r w:rsidR="004A73AC" w:rsidRPr="00925774">
        <w:rPr>
          <w:rFonts w:cstheme="minorHAnsi"/>
        </w:rPr>
        <w:t>Therefore,</w:t>
      </w:r>
      <w:r w:rsidRPr="00925774">
        <w:rPr>
          <w:rFonts w:cstheme="minorHAnsi"/>
        </w:rPr>
        <w:t xml:space="preserve"> it is important that where sites are operating a more restricted regime (e.g. Stage 3) or where increased restrictions are required due to local circumstances, that Governors consider temporarily introducing these mitigations.</w:t>
      </w:r>
      <w:r w:rsidR="004A73AC" w:rsidRPr="00925774">
        <w:rPr>
          <w:rFonts w:cstheme="minorHAnsi"/>
        </w:rPr>
        <w:t xml:space="preserve"> </w:t>
      </w:r>
      <w:r w:rsidR="005B2740" w:rsidRPr="00925774">
        <w:rPr>
          <w:rFonts w:cstheme="minorHAnsi"/>
        </w:rPr>
        <w:t xml:space="preserve">This is especially the case for sites operating at Stage 3 </w:t>
      </w:r>
      <w:r w:rsidR="00EA333C" w:rsidRPr="00925774">
        <w:rPr>
          <w:rFonts w:cstheme="minorHAnsi"/>
        </w:rPr>
        <w:t>or sites with</w:t>
      </w:r>
      <w:r w:rsidR="004E1BBD">
        <w:rPr>
          <w:rFonts w:cstheme="minorHAnsi"/>
        </w:rPr>
        <w:t xml:space="preserve"> social</w:t>
      </w:r>
      <w:r w:rsidR="00EA333C" w:rsidRPr="00925774">
        <w:rPr>
          <w:rFonts w:cstheme="minorHAnsi"/>
        </w:rPr>
        <w:t xml:space="preserve"> visits suspended, </w:t>
      </w:r>
      <w:r w:rsidR="005B2740" w:rsidRPr="00925774">
        <w:rPr>
          <w:rFonts w:cstheme="minorHAnsi"/>
        </w:rPr>
        <w:t xml:space="preserve">where it is </w:t>
      </w:r>
      <w:r w:rsidR="004A73AC" w:rsidRPr="00925774">
        <w:rPr>
          <w:rFonts w:cstheme="minorHAnsi"/>
        </w:rPr>
        <w:t>expect</w:t>
      </w:r>
      <w:r w:rsidR="005B2740" w:rsidRPr="00925774">
        <w:rPr>
          <w:rFonts w:cstheme="minorHAnsi"/>
        </w:rPr>
        <w:t xml:space="preserve">ed </w:t>
      </w:r>
      <w:r w:rsidR="004A73AC" w:rsidRPr="00925774">
        <w:rPr>
          <w:rFonts w:cstheme="minorHAnsi"/>
        </w:rPr>
        <w:t xml:space="preserve">that some level of regime mitigations </w:t>
      </w:r>
      <w:r w:rsidR="00767D82" w:rsidRPr="00925774">
        <w:rPr>
          <w:rFonts w:cstheme="minorHAnsi"/>
        </w:rPr>
        <w:t>is</w:t>
      </w:r>
      <w:r w:rsidR="005B2740" w:rsidRPr="00925774">
        <w:rPr>
          <w:rFonts w:cstheme="minorHAnsi"/>
        </w:rPr>
        <w:t xml:space="preserve"> </w:t>
      </w:r>
      <w:r w:rsidR="004A73AC" w:rsidRPr="00925774">
        <w:rPr>
          <w:rFonts w:cstheme="minorHAnsi"/>
        </w:rPr>
        <w:t>reintroduced.</w:t>
      </w:r>
      <w:r w:rsidR="0075480A" w:rsidRPr="00925774">
        <w:rPr>
          <w:rFonts w:cstheme="minorHAnsi"/>
        </w:rPr>
        <w:t xml:space="preserve"> </w:t>
      </w:r>
    </w:p>
    <w:p w14:paraId="359B0758" w14:textId="0917A3F2" w:rsidR="00712364" w:rsidRPr="00925774" w:rsidRDefault="009B098E" w:rsidP="000225B2">
      <w:pPr>
        <w:spacing w:line="240" w:lineRule="auto"/>
        <w:rPr>
          <w:rFonts w:cstheme="minorHAnsi"/>
        </w:rPr>
      </w:pPr>
      <w:r w:rsidRPr="00925774">
        <w:rPr>
          <w:rFonts w:cstheme="minorHAnsi"/>
        </w:rPr>
        <w:t xml:space="preserve">Previously we introduced a process whereby a reintroduction of mitigations could be requested through the application of a business case through Operational Resourcing and Stability Panel (ORSP). However, given the value </w:t>
      </w:r>
      <w:r w:rsidR="005B2740" w:rsidRPr="00925774">
        <w:rPr>
          <w:rFonts w:cstheme="minorHAnsi"/>
        </w:rPr>
        <w:t>placed on</w:t>
      </w:r>
      <w:r w:rsidRPr="00925774">
        <w:rPr>
          <w:rFonts w:cstheme="minorHAnsi"/>
        </w:rPr>
        <w:t xml:space="preserve"> these mitigations and importance of their swift introduction</w:t>
      </w:r>
      <w:r w:rsidRPr="00925774">
        <w:rPr>
          <w:rFonts w:cstheme="minorHAnsi"/>
          <w:b/>
          <w:bCs/>
          <w:u w:val="single"/>
        </w:rPr>
        <w:t>, we will be simplifying the process to allow Governors to request the reintroduction with their PGD.</w:t>
      </w:r>
      <w:r w:rsidRPr="00925774">
        <w:rPr>
          <w:rFonts w:cstheme="minorHAnsi"/>
        </w:rPr>
        <w:t xml:space="preserve">  </w:t>
      </w:r>
      <w:r w:rsidR="005B2740" w:rsidRPr="00925774">
        <w:rPr>
          <w:rFonts w:cstheme="minorHAnsi"/>
        </w:rPr>
        <w:t xml:space="preserve">Once approved, </w:t>
      </w:r>
      <w:r w:rsidRPr="00925774">
        <w:rPr>
          <w:rFonts w:cstheme="minorHAnsi"/>
        </w:rPr>
        <w:t xml:space="preserve">PGD’s will then need to inform ORSP </w:t>
      </w:r>
      <w:r w:rsidR="009D7E83" w:rsidRPr="00925774">
        <w:rPr>
          <w:rFonts w:cstheme="minorHAnsi"/>
        </w:rPr>
        <w:t xml:space="preserve">of the mitigations that will be introduced </w:t>
      </w:r>
      <w:r w:rsidR="002A176A" w:rsidRPr="00925774">
        <w:rPr>
          <w:rFonts w:cstheme="minorHAnsi"/>
        </w:rPr>
        <w:t xml:space="preserve">to ensure </w:t>
      </w:r>
      <w:r w:rsidR="002E129E" w:rsidRPr="00925774">
        <w:rPr>
          <w:rFonts w:cstheme="minorHAnsi"/>
        </w:rPr>
        <w:t>central funding and support is provided, where required</w:t>
      </w:r>
      <w:r w:rsidR="004A73AC" w:rsidRPr="00925774">
        <w:rPr>
          <w:rFonts w:cstheme="minorHAnsi"/>
        </w:rPr>
        <w:t>.</w:t>
      </w:r>
    </w:p>
    <w:p w14:paraId="55330267" w14:textId="0C4229AC" w:rsidR="00D84767" w:rsidRPr="00925774" w:rsidRDefault="00D84767" w:rsidP="0073450B">
      <w:pPr>
        <w:spacing w:line="240" w:lineRule="auto"/>
        <w:rPr>
          <w:rFonts w:cstheme="minorHAnsi"/>
          <w:u w:val="single"/>
        </w:rPr>
      </w:pPr>
      <w:r w:rsidRPr="00925774">
        <w:rPr>
          <w:rFonts w:cstheme="minorHAnsi"/>
          <w:u w:val="single"/>
        </w:rPr>
        <w:t xml:space="preserve">Recording the </w:t>
      </w:r>
      <w:r w:rsidR="00D513BB" w:rsidRPr="00925774">
        <w:rPr>
          <w:rFonts w:cstheme="minorHAnsi"/>
          <w:u w:val="single"/>
        </w:rPr>
        <w:t>U</w:t>
      </w:r>
      <w:r w:rsidRPr="00925774">
        <w:rPr>
          <w:rFonts w:cstheme="minorHAnsi"/>
          <w:u w:val="single"/>
        </w:rPr>
        <w:t xml:space="preserve">se of </w:t>
      </w:r>
      <w:r w:rsidR="00D513BB" w:rsidRPr="00925774">
        <w:rPr>
          <w:rFonts w:cstheme="minorHAnsi"/>
          <w:u w:val="single"/>
        </w:rPr>
        <w:t>M</w:t>
      </w:r>
      <w:r w:rsidRPr="00925774">
        <w:rPr>
          <w:rFonts w:cstheme="minorHAnsi"/>
          <w:u w:val="single"/>
        </w:rPr>
        <w:t>itigations</w:t>
      </w:r>
    </w:p>
    <w:p w14:paraId="254A52F5" w14:textId="6BDE6F8B" w:rsidR="00E03C94" w:rsidRPr="00925774" w:rsidRDefault="0075480A" w:rsidP="00E03C94">
      <w:pPr>
        <w:spacing w:after="0" w:line="240" w:lineRule="auto"/>
        <w:rPr>
          <w:rFonts w:cstheme="minorHAnsi"/>
        </w:rPr>
      </w:pPr>
      <w:r w:rsidRPr="00925774">
        <w:rPr>
          <w:rFonts w:cstheme="minorHAnsi"/>
        </w:rPr>
        <w:t xml:space="preserve">The reintroduction of any temporary mitigations will be supported </w:t>
      </w:r>
      <w:r w:rsidR="001442FE" w:rsidRPr="00925774">
        <w:rPr>
          <w:rFonts w:cstheme="minorHAnsi"/>
        </w:rPr>
        <w:t xml:space="preserve">by funding from the centre therefore it is important that </w:t>
      </w:r>
      <w:r w:rsidR="00D84767" w:rsidRPr="00925774">
        <w:rPr>
          <w:rFonts w:cstheme="minorHAnsi"/>
        </w:rPr>
        <w:t xml:space="preserve">sites keep record of any mitigations reintroduced by </w:t>
      </w:r>
      <w:r w:rsidRPr="00925774">
        <w:rPr>
          <w:rFonts w:cstheme="minorHAnsi"/>
        </w:rPr>
        <w:t xml:space="preserve">either including this on their </w:t>
      </w:r>
      <w:r w:rsidR="00CE7074">
        <w:rPr>
          <w:rFonts w:cstheme="minorHAnsi"/>
        </w:rPr>
        <w:t>COVID</w:t>
      </w:r>
      <w:r w:rsidR="001C098F">
        <w:rPr>
          <w:rFonts w:cstheme="minorHAnsi"/>
        </w:rPr>
        <w:t xml:space="preserve"> S</w:t>
      </w:r>
      <w:r w:rsidRPr="00925774">
        <w:rPr>
          <w:rFonts w:cstheme="minorHAnsi"/>
        </w:rPr>
        <w:t xml:space="preserve">pend </w:t>
      </w:r>
      <w:r w:rsidR="001C098F">
        <w:rPr>
          <w:rFonts w:cstheme="minorHAnsi"/>
        </w:rPr>
        <w:t>L</w:t>
      </w:r>
      <w:r w:rsidRPr="00925774">
        <w:rPr>
          <w:rFonts w:cstheme="minorHAnsi"/>
        </w:rPr>
        <w:t>og or informing their Finance Business Partner to ensure this is captured</w:t>
      </w:r>
      <w:r w:rsidR="001442FE" w:rsidRPr="00925774">
        <w:rPr>
          <w:rFonts w:cstheme="minorHAnsi"/>
        </w:rPr>
        <w:t>.</w:t>
      </w:r>
    </w:p>
    <w:p w14:paraId="26537726" w14:textId="1041B623" w:rsidR="00090C66" w:rsidRPr="00925774" w:rsidRDefault="00090C66" w:rsidP="00BF1FA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AA922EA" w14:textId="30EDA3C3" w:rsidR="00090C66" w:rsidRPr="00925774" w:rsidRDefault="00D513BB" w:rsidP="00090C66">
      <w:pPr>
        <w:spacing w:after="0" w:line="240" w:lineRule="auto"/>
        <w:rPr>
          <w:rFonts w:cstheme="minorHAnsi"/>
          <w:u w:val="single"/>
        </w:rPr>
      </w:pPr>
      <w:r w:rsidRPr="00925774">
        <w:rPr>
          <w:rFonts w:cstheme="minorHAnsi"/>
          <w:u w:val="single"/>
        </w:rPr>
        <w:t>Impact on Canteen</w:t>
      </w:r>
    </w:p>
    <w:p w14:paraId="2D326F23" w14:textId="77777777" w:rsidR="005A468A" w:rsidRDefault="00090C66" w:rsidP="005A468A">
      <w:pPr>
        <w:spacing w:after="0" w:line="240" w:lineRule="auto"/>
        <w:rPr>
          <w:rFonts w:cstheme="minorHAnsi"/>
        </w:rPr>
      </w:pPr>
      <w:r w:rsidRPr="00925774">
        <w:rPr>
          <w:rFonts w:cstheme="minorHAnsi"/>
        </w:rPr>
        <w:t xml:space="preserve">Governors should be conscious of </w:t>
      </w:r>
      <w:r w:rsidR="009627C9" w:rsidRPr="00925774">
        <w:rPr>
          <w:rFonts w:cstheme="minorHAnsi"/>
        </w:rPr>
        <w:t>any knock-on</w:t>
      </w:r>
      <w:r w:rsidRPr="00925774">
        <w:rPr>
          <w:rFonts w:cstheme="minorHAnsi"/>
        </w:rPr>
        <w:t xml:space="preserve"> impact</w:t>
      </w:r>
      <w:r w:rsidR="009627C9" w:rsidRPr="00925774">
        <w:rPr>
          <w:rFonts w:cstheme="minorHAnsi"/>
        </w:rPr>
        <w:t xml:space="preserve">s of </w:t>
      </w:r>
      <w:r w:rsidR="001961DF" w:rsidRPr="00925774">
        <w:rPr>
          <w:rFonts w:cstheme="minorHAnsi"/>
        </w:rPr>
        <w:t>any regime mitigations or the introduction of the wellbeing fund</w:t>
      </w:r>
      <w:r w:rsidR="009627C9" w:rsidRPr="00925774">
        <w:rPr>
          <w:rFonts w:cstheme="minorHAnsi"/>
        </w:rPr>
        <w:t>, resulting in increased pressures on canteen</w:t>
      </w:r>
      <w:r w:rsidR="001961DF" w:rsidRPr="00925774">
        <w:rPr>
          <w:rFonts w:cstheme="minorHAnsi"/>
        </w:rPr>
        <w:t xml:space="preserve">. Governors should consider ways of using the wellbeing fund aside from internally manufactured items or prisoner spend accounts. </w:t>
      </w:r>
    </w:p>
    <w:p w14:paraId="284CE9B8" w14:textId="77777777" w:rsidR="005A468A" w:rsidRDefault="005A468A" w:rsidP="005A468A">
      <w:pPr>
        <w:spacing w:after="0" w:line="240" w:lineRule="auto"/>
        <w:rPr>
          <w:rFonts w:cstheme="minorHAnsi"/>
        </w:rPr>
      </w:pPr>
    </w:p>
    <w:p w14:paraId="3FCFC048" w14:textId="333A98E1" w:rsidR="008E01CE" w:rsidRPr="00EB2124" w:rsidRDefault="008E01CE" w:rsidP="008E01CE">
      <w:pPr>
        <w:spacing w:line="240" w:lineRule="auto"/>
        <w:rPr>
          <w:rFonts w:cstheme="minorHAnsi"/>
          <w:u w:val="single"/>
        </w:rPr>
      </w:pPr>
      <w:r w:rsidRPr="00EB2124">
        <w:rPr>
          <w:rFonts w:cstheme="minorHAnsi"/>
          <w:u w:val="single"/>
        </w:rPr>
        <w:t>Wellbeing Fund</w:t>
      </w:r>
      <w:r>
        <w:rPr>
          <w:rFonts w:cstheme="minorHAnsi"/>
          <w:u w:val="single"/>
        </w:rPr>
        <w:br/>
      </w:r>
      <w:r w:rsidRPr="00EB2124">
        <w:rPr>
          <w:rFonts w:cstheme="minorHAnsi"/>
        </w:rPr>
        <w:t xml:space="preserve">In addition to these regime </w:t>
      </w:r>
      <w:r w:rsidRPr="00D64F37">
        <w:rPr>
          <w:rFonts w:cstheme="minorHAnsi"/>
        </w:rPr>
        <w:t>mitigations</w:t>
      </w:r>
      <w:r w:rsidRPr="00EB2124">
        <w:rPr>
          <w:rFonts w:cstheme="minorHAnsi"/>
        </w:rPr>
        <w:t xml:space="preserve">, we will once again be reintroducing the </w:t>
      </w:r>
      <w:r>
        <w:rPr>
          <w:rFonts w:cstheme="minorHAnsi"/>
        </w:rPr>
        <w:t xml:space="preserve">£10 </w:t>
      </w:r>
      <w:r w:rsidRPr="00EB2124">
        <w:rPr>
          <w:rFonts w:cstheme="minorHAnsi"/>
        </w:rPr>
        <w:t xml:space="preserve">wellbeing fund </w:t>
      </w:r>
      <w:r>
        <w:rPr>
          <w:rFonts w:cstheme="minorHAnsi"/>
        </w:rPr>
        <w:t xml:space="preserve">per prisoner </w:t>
      </w:r>
      <w:r w:rsidRPr="00EB2124">
        <w:rPr>
          <w:rFonts w:cstheme="minorHAnsi"/>
        </w:rPr>
        <w:t>fo</w:t>
      </w:r>
      <w:r>
        <w:rPr>
          <w:rFonts w:cstheme="minorHAnsi"/>
        </w:rPr>
        <w:t xml:space="preserve">r governors to put towards resources / materials for prisoners’ mental health and wellbeing. Further communications on this will follow in due course. </w:t>
      </w:r>
    </w:p>
    <w:p w14:paraId="1FE70D31" w14:textId="77777777" w:rsidR="008E01CE" w:rsidRDefault="008E01CE" w:rsidP="005A468A">
      <w:pPr>
        <w:spacing w:after="0" w:line="240" w:lineRule="auto"/>
        <w:rPr>
          <w:rFonts w:cstheme="minorHAnsi"/>
        </w:rPr>
      </w:pPr>
    </w:p>
    <w:p w14:paraId="49007C73" w14:textId="632EE337" w:rsidR="005A468A" w:rsidRPr="005A468A" w:rsidRDefault="005A468A" w:rsidP="00B03B82">
      <w:pPr>
        <w:spacing w:line="240" w:lineRule="auto"/>
        <w:rPr>
          <w:rFonts w:cstheme="minorHAnsi"/>
        </w:rPr>
      </w:pPr>
      <w:r w:rsidRPr="00B03B82">
        <w:rPr>
          <w:rFonts w:cstheme="minorHAnsi"/>
          <w:u w:val="single"/>
        </w:rPr>
        <w:t>YCS and Women’s Estate</w:t>
      </w:r>
      <w:r w:rsidR="00EB2124">
        <w:rPr>
          <w:rFonts w:cstheme="minorHAnsi"/>
          <w:u w:val="single"/>
        </w:rPr>
        <w:br/>
      </w:r>
      <w:r w:rsidRPr="00B03B82">
        <w:rPr>
          <w:sz w:val="20"/>
          <w:szCs w:val="20"/>
        </w:rPr>
        <w:t>Note there may be some differing approaches to the YCS and Women’s Estate. Dedicated messaging will be sent out to clarify the details of these.</w:t>
      </w:r>
    </w:p>
    <w:p w14:paraId="449BD14B" w14:textId="3226AC92" w:rsidR="007864BC" w:rsidRDefault="00EA2777" w:rsidP="00090C66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E6D0AE" wp14:editId="4CFB3FD0">
                <wp:simplePos x="0" y="0"/>
                <wp:positionH relativeFrom="column">
                  <wp:posOffset>-32716</wp:posOffset>
                </wp:positionH>
                <wp:positionV relativeFrom="paragraph">
                  <wp:posOffset>175122</wp:posOffset>
                </wp:positionV>
                <wp:extent cx="6050915" cy="755374"/>
                <wp:effectExtent l="0" t="0" r="26035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915" cy="755374"/>
                          <a:chOff x="0" y="0"/>
                          <a:chExt cx="6050915" cy="876019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050915" cy="85026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20040"/>
                            <a:ext cx="6027419" cy="85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3AE8E" w14:textId="218974B6" w:rsidR="00712D4F" w:rsidRPr="00EA2777" w:rsidRDefault="00712D4F" w:rsidP="00EA2777">
                              <w:pPr>
                                <w:jc w:val="center"/>
                              </w:pPr>
                              <w:r w:rsidRPr="00EA2777">
                                <w:t xml:space="preserve">These changes will be in effect from </w:t>
                              </w:r>
                              <w:r w:rsidR="00264947">
                                <w:t>17</w:t>
                              </w:r>
                              <w:r w:rsidRPr="00EA2777">
                                <w:t xml:space="preserve"> December.</w:t>
                              </w:r>
                            </w:p>
                            <w:p w14:paraId="05A9A148" w14:textId="5422E7E0" w:rsidR="00712D4F" w:rsidRPr="00EA2777" w:rsidRDefault="00712D4F" w:rsidP="00EA2777">
                              <w:pPr>
                                <w:jc w:val="center"/>
                              </w:pPr>
                              <w:r w:rsidRPr="00EA2777">
                                <w:t>Should you h</w:t>
                              </w:r>
                              <w:r w:rsidR="00F55149" w:rsidRPr="00EA2777">
                                <w:t>ave any queries or concerns about this approach please contact</w:t>
                              </w:r>
                              <w:r w:rsidR="00EA2777" w:rsidRPr="00EA2777">
                                <w:t xml:space="preserve"> </w:t>
                              </w:r>
                              <w:hyperlink r:id="rId11" w:history="1">
                                <w:r w:rsidR="00EA2777" w:rsidRPr="00EA2777">
                                  <w:rPr>
                                    <w:rStyle w:val="Hyperlink"/>
                                    <w:rFonts w:cstheme="minorHAnsi"/>
                                    <w:color w:val="auto"/>
                                  </w:rPr>
                                  <w:t>COVID19.RegimesOpsGuidance1@justice.gov.uk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6D0AE" id="Group 2" o:spid="_x0000_s1026" style="position:absolute;margin-left:-2.6pt;margin-top:13.8pt;width:476.45pt;height:59.5pt;z-index:251658240;mso-height-relative:margin" coordsize="60509,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">
                <v:rect id="Rectangle 1" o:spid="_x0000_s1027" style="position:absolute;width:60509;height:8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9;top:200;width:60274;height:8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273AE8E" w14:textId="218974B6" w:rsidR="00712D4F" w:rsidRPr="00EA2777" w:rsidRDefault="00712D4F" w:rsidP="00EA2777">
                        <w:pPr>
                          <w:jc w:val="center"/>
                        </w:pPr>
                        <w:r w:rsidRPr="00EA2777">
                          <w:t xml:space="preserve">These changes will be in effect from </w:t>
                        </w:r>
                        <w:r w:rsidR="00264947">
                          <w:t>17</w:t>
                        </w:r>
                        <w:r w:rsidRPr="00EA2777">
                          <w:t xml:space="preserve"> December.</w:t>
                        </w:r>
                      </w:p>
                      <w:p w14:paraId="05A9A148" w14:textId="5422E7E0" w:rsidR="00712D4F" w:rsidRPr="00EA2777" w:rsidRDefault="00712D4F" w:rsidP="00EA2777">
                        <w:pPr>
                          <w:jc w:val="center"/>
                        </w:pPr>
                        <w:r w:rsidRPr="00EA2777">
                          <w:t>Should you h</w:t>
                        </w:r>
                        <w:r w:rsidR="00F55149" w:rsidRPr="00EA2777">
                          <w:t>ave any queries or concerns about this approach please contact</w:t>
                        </w:r>
                        <w:r w:rsidR="00EA2777" w:rsidRPr="00EA2777">
                          <w:t xml:space="preserve"> </w:t>
                        </w:r>
                        <w:hyperlink r:id="rId12" w:history="1">
                          <w:r w:rsidR="00EA2777" w:rsidRPr="00EA2777">
                            <w:rPr>
                              <w:rStyle w:val="Hyperlink"/>
                              <w:rFonts w:cstheme="minorHAnsi"/>
                              <w:color w:val="auto"/>
                            </w:rPr>
                            <w:t>COVID19.RegimesOpsGuidance1@justice.gov.uk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A7AE622" w14:textId="71F72A82" w:rsidR="00A232B4" w:rsidRPr="00F17113" w:rsidRDefault="002A0F27" w:rsidP="007864BC">
      <w:pPr>
        <w:spacing w:line="240" w:lineRule="auto"/>
        <w:rPr>
          <w:rFonts w:cstheme="minorHAnsi"/>
          <w:b/>
          <w:bCs/>
          <w:u w:val="single"/>
        </w:rPr>
        <w:sectPr w:rsidR="00A232B4" w:rsidRPr="00F17113" w:rsidSect="007864BC">
          <w:pgSz w:w="11906" w:h="16838" w:code="9"/>
          <w:pgMar w:top="1191" w:right="1440" w:bottom="1134" w:left="1191" w:header="709" w:footer="709" w:gutter="0"/>
          <w:cols w:space="708"/>
          <w:docGrid w:linePitch="360"/>
        </w:sectPr>
      </w:pPr>
      <w:bookmarkStart w:id="0" w:name="_Hlk90375707"/>
      <w:r w:rsidRPr="00F17113">
        <w:rPr>
          <w:rFonts w:cstheme="minorHAnsi"/>
        </w:rPr>
        <w:t xml:space="preserve"> </w:t>
      </w:r>
    </w:p>
    <w:bookmarkEnd w:id="0"/>
    <w:p w14:paraId="0F5218B5" w14:textId="77777777" w:rsidR="00D667F7" w:rsidRDefault="00CD64B8" w:rsidP="00307421">
      <w:pPr>
        <w:spacing w:after="0"/>
        <w:rPr>
          <w:b/>
          <w:sz w:val="26"/>
          <w:szCs w:val="26"/>
          <w:u w:val="single"/>
        </w:rPr>
      </w:pPr>
      <w:r w:rsidRPr="005804C7">
        <w:rPr>
          <w:b/>
          <w:sz w:val="26"/>
          <w:szCs w:val="26"/>
          <w:u w:val="single"/>
        </w:rPr>
        <w:lastRenderedPageBreak/>
        <w:t xml:space="preserve">Annex A </w:t>
      </w:r>
      <w:r w:rsidR="00A232B4" w:rsidRPr="005804C7">
        <w:rPr>
          <w:b/>
          <w:sz w:val="26"/>
          <w:szCs w:val="26"/>
          <w:u w:val="single"/>
        </w:rPr>
        <w:t xml:space="preserve">Regime Mitigations Information Table </w:t>
      </w:r>
    </w:p>
    <w:p w14:paraId="3690D913" w14:textId="5A54DE92" w:rsidR="00925774" w:rsidRPr="005A468A" w:rsidRDefault="00937126" w:rsidP="005A468A">
      <w:pPr>
        <w:pStyle w:val="ListParagraph"/>
        <w:numPr>
          <w:ilvl w:val="0"/>
          <w:numId w:val="12"/>
        </w:numPr>
        <w:spacing w:line="240" w:lineRule="auto"/>
        <w:rPr>
          <w:sz w:val="20"/>
          <w:szCs w:val="20"/>
        </w:rPr>
      </w:pPr>
      <w:r w:rsidRPr="00F90614">
        <w:rPr>
          <w:sz w:val="20"/>
          <w:szCs w:val="20"/>
        </w:rPr>
        <w:t xml:space="preserve">Any regime mitigations that have financial mitigations must be recorded within the </w:t>
      </w:r>
      <w:r w:rsidR="00CE7074">
        <w:rPr>
          <w:sz w:val="20"/>
          <w:szCs w:val="20"/>
        </w:rPr>
        <w:t>COVID</w:t>
      </w:r>
      <w:r w:rsidRPr="00F90614">
        <w:rPr>
          <w:sz w:val="20"/>
          <w:szCs w:val="20"/>
        </w:rPr>
        <w:t xml:space="preserve"> Spend Log or notified to your Financial Business Partner.</w:t>
      </w:r>
    </w:p>
    <w:tbl>
      <w:tblPr>
        <w:tblStyle w:val="TableGrid"/>
        <w:tblW w:w="15994" w:type="dxa"/>
        <w:tblInd w:w="-714" w:type="dxa"/>
        <w:tblLook w:val="04A0" w:firstRow="1" w:lastRow="0" w:firstColumn="1" w:lastColumn="0" w:noHBand="0" w:noVBand="1"/>
      </w:tblPr>
      <w:tblGrid>
        <w:gridCol w:w="1852"/>
        <w:gridCol w:w="4669"/>
        <w:gridCol w:w="4622"/>
        <w:gridCol w:w="4851"/>
      </w:tblGrid>
      <w:tr w:rsidR="00307421" w14:paraId="06F49E29" w14:textId="77777777" w:rsidTr="00183C05">
        <w:trPr>
          <w:trHeight w:val="204"/>
        </w:trPr>
        <w:tc>
          <w:tcPr>
            <w:tcW w:w="1852" w:type="dxa"/>
          </w:tcPr>
          <w:p w14:paraId="3E781F47" w14:textId="5AD4F50C" w:rsidR="004215E9" w:rsidRPr="004215E9" w:rsidRDefault="004215E9" w:rsidP="004215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31141">
              <w:rPr>
                <w:rFonts w:cstheme="minorHAnsi"/>
                <w:b/>
                <w:bCs/>
                <w:sz w:val="20"/>
                <w:szCs w:val="20"/>
              </w:rPr>
              <w:t>Mitigations</w:t>
            </w:r>
          </w:p>
        </w:tc>
        <w:tc>
          <w:tcPr>
            <w:tcW w:w="4669" w:type="dxa"/>
          </w:tcPr>
          <w:p w14:paraId="2154C069" w14:textId="64F55611" w:rsidR="004215E9" w:rsidRDefault="004215E9" w:rsidP="004215E9">
            <w:pPr>
              <w:rPr>
                <w:b/>
                <w:bCs/>
                <w:sz w:val="28"/>
                <w:szCs w:val="28"/>
                <w:u w:val="single"/>
              </w:rPr>
            </w:pPr>
            <w:r w:rsidRPr="00531141">
              <w:rPr>
                <w:rFonts w:cstheme="minorHAnsi"/>
                <w:b/>
                <w:bCs/>
                <w:sz w:val="20"/>
                <w:szCs w:val="20"/>
              </w:rPr>
              <w:t>Process for switching on</w:t>
            </w:r>
          </w:p>
        </w:tc>
        <w:tc>
          <w:tcPr>
            <w:tcW w:w="4622" w:type="dxa"/>
          </w:tcPr>
          <w:p w14:paraId="4B6638E9" w14:textId="32F3BE51" w:rsidR="004215E9" w:rsidRDefault="004215E9" w:rsidP="004215E9">
            <w:pPr>
              <w:rPr>
                <w:b/>
                <w:bCs/>
                <w:sz w:val="28"/>
                <w:szCs w:val="28"/>
                <w:u w:val="single"/>
              </w:rPr>
            </w:pPr>
            <w:r w:rsidRPr="00531141">
              <w:rPr>
                <w:rFonts w:cstheme="minorHAnsi"/>
                <w:b/>
                <w:bCs/>
                <w:sz w:val="20"/>
                <w:szCs w:val="20"/>
              </w:rPr>
              <w:t>Considerations</w:t>
            </w:r>
          </w:p>
        </w:tc>
        <w:tc>
          <w:tcPr>
            <w:tcW w:w="4851" w:type="dxa"/>
          </w:tcPr>
          <w:p w14:paraId="2BA22866" w14:textId="4BD8F1BB" w:rsidR="004215E9" w:rsidRDefault="004215E9" w:rsidP="004215E9">
            <w:pPr>
              <w:rPr>
                <w:b/>
                <w:bCs/>
                <w:sz w:val="28"/>
                <w:szCs w:val="28"/>
                <w:u w:val="single"/>
              </w:rPr>
            </w:pPr>
            <w:r w:rsidRPr="00531141">
              <w:rPr>
                <w:rFonts w:cstheme="minorHAnsi"/>
                <w:b/>
                <w:bCs/>
                <w:sz w:val="20"/>
                <w:szCs w:val="20"/>
              </w:rPr>
              <w:t xml:space="preserve">Contact </w:t>
            </w:r>
          </w:p>
        </w:tc>
      </w:tr>
      <w:tr w:rsidR="00307421" w14:paraId="226252CE" w14:textId="77777777" w:rsidTr="00183C05">
        <w:trPr>
          <w:trHeight w:val="820"/>
        </w:trPr>
        <w:tc>
          <w:tcPr>
            <w:tcW w:w="1852" w:type="dxa"/>
          </w:tcPr>
          <w:p w14:paraId="71643AD9" w14:textId="34278902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rFonts w:cstheme="minorHAnsi"/>
                <w:sz w:val="20"/>
                <w:szCs w:val="20"/>
              </w:rPr>
              <w:t xml:space="preserve">Secure Video Calls </w:t>
            </w:r>
          </w:p>
        </w:tc>
        <w:tc>
          <w:tcPr>
            <w:tcW w:w="4669" w:type="dxa"/>
          </w:tcPr>
          <w:p w14:paraId="2D327A43" w14:textId="6BBFF35B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sz w:val="20"/>
                <w:szCs w:val="20"/>
              </w:rPr>
              <w:t>Prisons can reintroduce locally by allocating additional calls – this is then reimbursed by the center</w:t>
            </w:r>
          </w:p>
        </w:tc>
        <w:tc>
          <w:tcPr>
            <w:tcW w:w="4622" w:type="dxa"/>
          </w:tcPr>
          <w:p w14:paraId="3DE7DDE6" w14:textId="77777777" w:rsidR="00350083" w:rsidRPr="00D70944" w:rsidRDefault="00350083" w:rsidP="00350083">
            <w:pPr>
              <w:rPr>
                <w:sz w:val="20"/>
                <w:szCs w:val="20"/>
              </w:rPr>
            </w:pPr>
            <w:r w:rsidRPr="00D70944">
              <w:rPr>
                <w:sz w:val="20"/>
                <w:szCs w:val="20"/>
              </w:rPr>
              <w:t>Need to consider any impacts on resourcing requirements for facilitating additional calls</w:t>
            </w:r>
          </w:p>
          <w:p w14:paraId="048937AE" w14:textId="03389381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sz w:val="20"/>
                <w:szCs w:val="20"/>
              </w:rPr>
              <w:t>Ensure calls are equally distributed, ensuring additional calls only granted once everyone has had access or chance to use first one.</w:t>
            </w:r>
          </w:p>
        </w:tc>
        <w:tc>
          <w:tcPr>
            <w:tcW w:w="4851" w:type="dxa"/>
          </w:tcPr>
          <w:p w14:paraId="1F29D1CC" w14:textId="2C7F7243" w:rsidR="00350083" w:rsidRPr="00D70944" w:rsidRDefault="006A2984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hyperlink r:id="rId13" w:history="1">
              <w:r w:rsidR="00350083" w:rsidRPr="00D70944">
                <w:rPr>
                  <w:rStyle w:val="Hyperlink"/>
                  <w:rFonts w:cstheme="minorHAnsi"/>
                  <w:sz w:val="20"/>
                  <w:szCs w:val="20"/>
                </w:rPr>
                <w:t>videocalls@digital.justice.gov.uk</w:t>
              </w:r>
            </w:hyperlink>
          </w:p>
        </w:tc>
      </w:tr>
      <w:tr w:rsidR="00307421" w14:paraId="5E62BC20" w14:textId="77777777" w:rsidTr="00183C05">
        <w:trPr>
          <w:trHeight w:val="614"/>
        </w:trPr>
        <w:tc>
          <w:tcPr>
            <w:tcW w:w="1852" w:type="dxa"/>
          </w:tcPr>
          <w:p w14:paraId="0E9E6DFF" w14:textId="304F493D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rFonts w:cstheme="minorHAnsi"/>
                <w:sz w:val="20"/>
                <w:szCs w:val="20"/>
              </w:rPr>
              <w:t>Limiting Use of Basic</w:t>
            </w:r>
          </w:p>
        </w:tc>
        <w:tc>
          <w:tcPr>
            <w:tcW w:w="4669" w:type="dxa"/>
          </w:tcPr>
          <w:p w14:paraId="6EEE923F" w14:textId="6CB96BEB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rFonts w:cstheme="minorHAnsi"/>
                <w:sz w:val="20"/>
                <w:szCs w:val="20"/>
              </w:rPr>
              <w:t>Can be reintroduced locally should circumstances require it</w:t>
            </w:r>
          </w:p>
        </w:tc>
        <w:tc>
          <w:tcPr>
            <w:tcW w:w="4622" w:type="dxa"/>
          </w:tcPr>
          <w:p w14:paraId="516D6715" w14:textId="7D293646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sz w:val="20"/>
                <w:szCs w:val="20"/>
              </w:rPr>
              <w:t xml:space="preserve">When no longer required establishments should plan to move back to </w:t>
            </w:r>
            <w:r w:rsidR="005B1DED">
              <w:rPr>
                <w:sz w:val="20"/>
                <w:szCs w:val="20"/>
              </w:rPr>
              <w:t xml:space="preserve">PSO and </w:t>
            </w:r>
            <w:r w:rsidRPr="00D70944">
              <w:rPr>
                <w:sz w:val="20"/>
                <w:szCs w:val="20"/>
              </w:rPr>
              <w:t xml:space="preserve">Policy Framework </w:t>
            </w:r>
            <w:hyperlink w:history="1">
              <w:r w:rsidRPr="00D70944">
                <w:rPr>
                  <w:rStyle w:val="Hyperlink"/>
                  <w:rFonts w:cstheme="minorHAnsi"/>
                  <w:sz w:val="20"/>
                  <w:szCs w:val="20"/>
                </w:rPr>
                <w:t>Incentives Policy Framework - GOV.UK (www.gov.uk)</w:t>
              </w:r>
            </w:hyperlink>
          </w:p>
        </w:tc>
        <w:tc>
          <w:tcPr>
            <w:tcW w:w="4851" w:type="dxa"/>
          </w:tcPr>
          <w:p w14:paraId="397C01B3" w14:textId="77777777" w:rsidR="00350083" w:rsidRPr="00D70944" w:rsidRDefault="006A2984" w:rsidP="00350083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350083" w:rsidRPr="00D70944">
                <w:rPr>
                  <w:rStyle w:val="Hyperlink"/>
                  <w:rFonts w:cstheme="minorHAnsi"/>
                  <w:sz w:val="20"/>
                  <w:szCs w:val="20"/>
                </w:rPr>
                <w:t>Operational_policy1@justice.gov.uk</w:t>
              </w:r>
            </w:hyperlink>
          </w:p>
          <w:p w14:paraId="6D18758E" w14:textId="77777777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07421" w14:paraId="4F4FB390" w14:textId="77777777" w:rsidTr="00183C05">
        <w:trPr>
          <w:trHeight w:val="409"/>
        </w:trPr>
        <w:tc>
          <w:tcPr>
            <w:tcW w:w="1852" w:type="dxa"/>
          </w:tcPr>
          <w:p w14:paraId="0CD7F510" w14:textId="655A0BE3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rFonts w:cstheme="minorHAnsi"/>
                <w:sz w:val="20"/>
                <w:szCs w:val="20"/>
              </w:rPr>
              <w:t xml:space="preserve">Prisoner Pay (removal of payment) </w:t>
            </w:r>
          </w:p>
        </w:tc>
        <w:tc>
          <w:tcPr>
            <w:tcW w:w="4669" w:type="dxa"/>
          </w:tcPr>
          <w:p w14:paraId="53E12DB2" w14:textId="4A86F7D4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rFonts w:cstheme="minorHAnsi"/>
                <w:sz w:val="20"/>
                <w:szCs w:val="20"/>
              </w:rPr>
              <w:t>Can be reintroduced locally where circumstances require it via NOMIS.</w:t>
            </w:r>
          </w:p>
        </w:tc>
        <w:tc>
          <w:tcPr>
            <w:tcW w:w="4622" w:type="dxa"/>
          </w:tcPr>
          <w:p w14:paraId="639472E1" w14:textId="6546A33D" w:rsidR="0022562F" w:rsidRDefault="0022562F" w:rsidP="00350083">
            <w:pPr>
              <w:rPr>
                <w:rStyle w:val="Hyperlink"/>
                <w:rFonts w:cstheme="minorHAnsi"/>
                <w:sz w:val="20"/>
                <w:szCs w:val="20"/>
              </w:rPr>
            </w:pPr>
            <w:r w:rsidRPr="00D70944">
              <w:rPr>
                <w:sz w:val="20"/>
                <w:szCs w:val="20"/>
              </w:rPr>
              <w:t xml:space="preserve">When no longer required establishments should plan to move back to </w:t>
            </w:r>
            <w:r w:rsidR="00644966">
              <w:rPr>
                <w:sz w:val="20"/>
                <w:szCs w:val="20"/>
              </w:rPr>
              <w:t xml:space="preserve">PSO and </w:t>
            </w:r>
            <w:r w:rsidRPr="00D70944">
              <w:rPr>
                <w:sz w:val="20"/>
                <w:szCs w:val="20"/>
              </w:rPr>
              <w:t xml:space="preserve">Policy Framework </w:t>
            </w:r>
            <w:hyperlink w:history="1">
              <w:r w:rsidRPr="00D70944">
                <w:rPr>
                  <w:rStyle w:val="Hyperlink"/>
                  <w:rFonts w:cstheme="minorHAnsi"/>
                  <w:sz w:val="20"/>
                  <w:szCs w:val="20"/>
                </w:rPr>
                <w:t>Incentives Policy Framework - GOV.UK (www.gov.uk)</w:t>
              </w:r>
            </w:hyperlink>
            <w:bookmarkStart w:id="1" w:name="_Hlk90534847"/>
          </w:p>
          <w:p w14:paraId="3B70613F" w14:textId="77777777" w:rsidR="0022562F" w:rsidRDefault="0022562F" w:rsidP="00350083">
            <w:pPr>
              <w:rPr>
                <w:rStyle w:val="Hyperlink"/>
                <w:rFonts w:cstheme="minorHAnsi"/>
                <w:sz w:val="20"/>
                <w:szCs w:val="20"/>
              </w:rPr>
            </w:pPr>
          </w:p>
          <w:p w14:paraId="00A2D910" w14:textId="50DA217E" w:rsidR="00350083" w:rsidRPr="00D70944" w:rsidRDefault="004536C2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4536C2">
              <w:rPr>
                <w:sz w:val="20"/>
                <w:szCs w:val="20"/>
              </w:rPr>
              <w:t xml:space="preserve">Need to consider the impact on essential workplaces that remain open – </w:t>
            </w:r>
            <w:r w:rsidRPr="004536C2">
              <w:rPr>
                <w:sz w:val="20"/>
                <w:szCs w:val="20"/>
              </w:rPr>
              <w:t>ensur</w:t>
            </w:r>
            <w:r w:rsidR="00DD3428">
              <w:rPr>
                <w:sz w:val="20"/>
                <w:szCs w:val="20"/>
              </w:rPr>
              <w:t>ing</w:t>
            </w:r>
            <w:r w:rsidRPr="004536C2">
              <w:rPr>
                <w:sz w:val="20"/>
                <w:szCs w:val="20"/>
              </w:rPr>
              <w:t xml:space="preserve"> attendance is </w:t>
            </w:r>
            <w:r w:rsidRPr="004536C2">
              <w:rPr>
                <w:sz w:val="20"/>
                <w:szCs w:val="20"/>
              </w:rPr>
              <w:t>incentivised</w:t>
            </w:r>
            <w:bookmarkEnd w:id="1"/>
            <w:r w:rsidR="00DD3428">
              <w:rPr>
                <w:sz w:val="20"/>
                <w:szCs w:val="20"/>
              </w:rPr>
              <w:t xml:space="preserve"> where possible.</w:t>
            </w:r>
          </w:p>
        </w:tc>
        <w:tc>
          <w:tcPr>
            <w:tcW w:w="4851" w:type="dxa"/>
          </w:tcPr>
          <w:p w14:paraId="026DF4A9" w14:textId="0BAB526A" w:rsidR="00350083" w:rsidRPr="00D70944" w:rsidRDefault="006A2984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hyperlink r:id="rId15" w:history="1">
              <w:r w:rsidR="00350083" w:rsidRPr="00D70944">
                <w:rPr>
                  <w:rStyle w:val="Hyperlink"/>
                  <w:rFonts w:cstheme="minorHAnsi"/>
                  <w:sz w:val="20"/>
                  <w:szCs w:val="20"/>
                </w:rPr>
                <w:t>Operational_policy1@justice.gov.uk</w:t>
              </w:r>
            </w:hyperlink>
          </w:p>
        </w:tc>
      </w:tr>
      <w:tr w:rsidR="00307421" w14:paraId="185613C0" w14:textId="77777777" w:rsidTr="00183C05">
        <w:trPr>
          <w:trHeight w:val="614"/>
        </w:trPr>
        <w:tc>
          <w:tcPr>
            <w:tcW w:w="1852" w:type="dxa"/>
          </w:tcPr>
          <w:p w14:paraId="23145799" w14:textId="468565E7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rFonts w:cstheme="minorHAnsi"/>
                <w:sz w:val="20"/>
                <w:szCs w:val="20"/>
              </w:rPr>
              <w:t>In cell TVs (removal of rental charge)</w:t>
            </w:r>
          </w:p>
        </w:tc>
        <w:tc>
          <w:tcPr>
            <w:tcW w:w="4669" w:type="dxa"/>
          </w:tcPr>
          <w:p w14:paraId="5E713D7B" w14:textId="06A32E01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rFonts w:cstheme="minorHAnsi"/>
                <w:sz w:val="20"/>
                <w:szCs w:val="20"/>
              </w:rPr>
              <w:t>Mitigation (removal of charge) can be reintroduced locally where circumstances require it via NOMIS.</w:t>
            </w:r>
          </w:p>
        </w:tc>
        <w:tc>
          <w:tcPr>
            <w:tcW w:w="4622" w:type="dxa"/>
          </w:tcPr>
          <w:p w14:paraId="39507AAA" w14:textId="3D28A319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sz w:val="20"/>
                <w:szCs w:val="20"/>
              </w:rPr>
              <w:t>If reintroduced needs to be logged in COVID Spend Log</w:t>
            </w:r>
          </w:p>
        </w:tc>
        <w:tc>
          <w:tcPr>
            <w:tcW w:w="4851" w:type="dxa"/>
          </w:tcPr>
          <w:p w14:paraId="5B05BB8A" w14:textId="77777777" w:rsidR="00350083" w:rsidRPr="00D70944" w:rsidRDefault="006A2984" w:rsidP="00350083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350083" w:rsidRPr="00D70944">
                <w:rPr>
                  <w:rStyle w:val="Hyperlink"/>
                  <w:rFonts w:cstheme="minorHAnsi"/>
                  <w:sz w:val="20"/>
                  <w:szCs w:val="20"/>
                </w:rPr>
                <w:t>Operational_policy1@justice.gov.uk</w:t>
              </w:r>
            </w:hyperlink>
          </w:p>
          <w:p w14:paraId="5F7EA392" w14:textId="05F88596" w:rsidR="00350083" w:rsidRPr="00D70944" w:rsidRDefault="006A2984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hyperlink r:id="rId17" w:history="1">
              <w:r w:rsidR="00350083" w:rsidRPr="00D70944">
                <w:rPr>
                  <w:rStyle w:val="Hyperlink"/>
                  <w:rFonts w:cstheme="minorHAnsi"/>
                  <w:sz w:val="20"/>
                  <w:szCs w:val="20"/>
                </w:rPr>
                <w:t>Incentives Policy Framework - GOV.UK (www.gov.uk)</w:t>
              </w:r>
            </w:hyperlink>
          </w:p>
        </w:tc>
      </w:tr>
      <w:tr w:rsidR="00307421" w14:paraId="5F0A4004" w14:textId="77777777" w:rsidTr="00183C05">
        <w:trPr>
          <w:trHeight w:val="2081"/>
        </w:trPr>
        <w:tc>
          <w:tcPr>
            <w:tcW w:w="1852" w:type="dxa"/>
          </w:tcPr>
          <w:p w14:paraId="39405BF5" w14:textId="2A2986E9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rFonts w:cstheme="minorHAnsi"/>
                <w:sz w:val="20"/>
                <w:szCs w:val="20"/>
              </w:rPr>
              <w:t>Pin Credit</w:t>
            </w:r>
          </w:p>
        </w:tc>
        <w:tc>
          <w:tcPr>
            <w:tcW w:w="4669" w:type="dxa"/>
          </w:tcPr>
          <w:p w14:paraId="1629740F" w14:textId="03722890" w:rsidR="00350083" w:rsidRPr="00D70944" w:rsidRDefault="00350083" w:rsidP="00350083">
            <w:pPr>
              <w:rPr>
                <w:sz w:val="20"/>
                <w:szCs w:val="20"/>
              </w:rPr>
            </w:pPr>
            <w:r w:rsidRPr="00D70944">
              <w:rPr>
                <w:sz w:val="20"/>
                <w:szCs w:val="20"/>
              </w:rPr>
              <w:t xml:space="preserve">Establishment notifies </w:t>
            </w:r>
            <w:r w:rsidR="00C0522B">
              <w:rPr>
                <w:sz w:val="20"/>
                <w:szCs w:val="20"/>
              </w:rPr>
              <w:t>central team</w:t>
            </w:r>
            <w:r w:rsidRPr="00D70944">
              <w:rPr>
                <w:sz w:val="20"/>
                <w:szCs w:val="20"/>
              </w:rPr>
              <w:t xml:space="preserve"> of requirement – this is switched on </w:t>
            </w:r>
            <w:r w:rsidR="00572FAA">
              <w:rPr>
                <w:sz w:val="20"/>
                <w:szCs w:val="20"/>
              </w:rPr>
              <w:t>centrally.</w:t>
            </w:r>
          </w:p>
          <w:p w14:paraId="4F562E01" w14:textId="77777777" w:rsidR="00350083" w:rsidRPr="00D70944" w:rsidRDefault="00350083" w:rsidP="00350083">
            <w:pPr>
              <w:rPr>
                <w:sz w:val="20"/>
                <w:szCs w:val="20"/>
              </w:rPr>
            </w:pPr>
          </w:p>
          <w:p w14:paraId="382FABF0" w14:textId="77777777" w:rsidR="00350083" w:rsidRPr="00D70944" w:rsidRDefault="00350083" w:rsidP="00350083">
            <w:pPr>
              <w:rPr>
                <w:sz w:val="20"/>
                <w:szCs w:val="20"/>
              </w:rPr>
            </w:pPr>
            <w:r w:rsidRPr="00D70944">
              <w:rPr>
                <w:sz w:val="20"/>
                <w:szCs w:val="20"/>
              </w:rPr>
              <w:t>Can be applied locally from local budget via ‘credit all’ option in extreme circumstances.</w:t>
            </w:r>
          </w:p>
          <w:p w14:paraId="17E3EC48" w14:textId="77777777" w:rsidR="00350083" w:rsidRPr="00D70944" w:rsidRDefault="00350083" w:rsidP="00350083">
            <w:pPr>
              <w:rPr>
                <w:sz w:val="20"/>
                <w:szCs w:val="20"/>
              </w:rPr>
            </w:pPr>
          </w:p>
          <w:p w14:paraId="75148A1C" w14:textId="17474E39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b/>
                <w:bCs/>
                <w:sz w:val="20"/>
                <w:szCs w:val="20"/>
              </w:rPr>
              <w:t>NB: YCS and Women’s Estate have already extended their use of additional pin credit and video cal</w:t>
            </w:r>
            <w:r w:rsidR="00925774">
              <w:rPr>
                <w:b/>
                <w:bCs/>
                <w:sz w:val="20"/>
                <w:szCs w:val="20"/>
              </w:rPr>
              <w:t>l</w:t>
            </w:r>
            <w:r w:rsidRPr="00D70944">
              <w:rPr>
                <w:b/>
                <w:bCs/>
                <w:sz w:val="20"/>
                <w:szCs w:val="20"/>
              </w:rPr>
              <w:t>s.</w:t>
            </w:r>
          </w:p>
        </w:tc>
        <w:tc>
          <w:tcPr>
            <w:tcW w:w="4622" w:type="dxa"/>
          </w:tcPr>
          <w:p w14:paraId="0E797ED7" w14:textId="77777777" w:rsidR="00350083" w:rsidRPr="00D70944" w:rsidRDefault="00350083" w:rsidP="00350083">
            <w:pPr>
              <w:pStyle w:val="ListParagraph"/>
              <w:ind w:left="0"/>
              <w:rPr>
                <w:sz w:val="20"/>
                <w:szCs w:val="20"/>
              </w:rPr>
            </w:pPr>
            <w:r w:rsidRPr="00D70944">
              <w:rPr>
                <w:sz w:val="20"/>
                <w:szCs w:val="20"/>
              </w:rPr>
              <w:t>Will be retaining the cap that was previously introduced to prevent credit accruing.</w:t>
            </w:r>
          </w:p>
          <w:p w14:paraId="6603B999" w14:textId="77777777" w:rsidR="00350083" w:rsidRPr="00D70944" w:rsidRDefault="00350083" w:rsidP="00350083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00358A5" w14:textId="2E41BF16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sz w:val="20"/>
                <w:szCs w:val="20"/>
              </w:rPr>
              <w:t>Governors to submit their request by midday Wednesday</w:t>
            </w:r>
            <w:r w:rsidR="000400B8">
              <w:rPr>
                <w:sz w:val="20"/>
                <w:szCs w:val="20"/>
              </w:rPr>
              <w:t xml:space="preserve"> </w:t>
            </w:r>
            <w:r w:rsidR="00491351">
              <w:rPr>
                <w:sz w:val="20"/>
                <w:szCs w:val="20"/>
              </w:rPr>
              <w:t>to ORSP</w:t>
            </w:r>
            <w:r w:rsidRPr="00D70944">
              <w:rPr>
                <w:sz w:val="20"/>
                <w:szCs w:val="20"/>
              </w:rPr>
              <w:t xml:space="preserve"> </w:t>
            </w:r>
            <w:r w:rsidR="00491351">
              <w:rPr>
                <w:sz w:val="20"/>
                <w:szCs w:val="20"/>
              </w:rPr>
              <w:t>to allow central team</w:t>
            </w:r>
            <w:r w:rsidRPr="00D70944">
              <w:rPr>
                <w:sz w:val="20"/>
                <w:szCs w:val="20"/>
              </w:rPr>
              <w:t xml:space="preserve"> to switch on for </w:t>
            </w:r>
            <w:r w:rsidR="00491351">
              <w:rPr>
                <w:sz w:val="20"/>
                <w:szCs w:val="20"/>
              </w:rPr>
              <w:t xml:space="preserve">the </w:t>
            </w:r>
            <w:r w:rsidRPr="00D70944">
              <w:rPr>
                <w:sz w:val="20"/>
                <w:szCs w:val="20"/>
              </w:rPr>
              <w:t>same week. Where this deadline is missed it can be funded locally until reintroduced centrally.</w:t>
            </w:r>
          </w:p>
        </w:tc>
        <w:tc>
          <w:tcPr>
            <w:tcW w:w="4851" w:type="dxa"/>
          </w:tcPr>
          <w:p w14:paraId="276F3E2A" w14:textId="3D47C76E" w:rsidR="00350083" w:rsidRPr="00FB7CF8" w:rsidRDefault="006A2984" w:rsidP="00FB7CF8">
            <w:hyperlink r:id="rId18" w:history="1">
              <w:r w:rsidR="00FB7CF8" w:rsidRPr="00FB7CF8">
                <w:t>P</w:t>
              </w:r>
              <w:r w:rsidR="00FB7CF8" w:rsidRPr="00FB7CF8">
                <w:rPr>
                  <w:rFonts w:cstheme="minorHAnsi"/>
                </w:rPr>
                <w:t>GD</w:t>
              </w:r>
            </w:hyperlink>
            <w:r w:rsidR="00FB7CF8" w:rsidRPr="00FB7CF8">
              <w:t xml:space="preserve"> </w:t>
            </w:r>
            <w:r w:rsidR="00FB7CF8" w:rsidRPr="00FB7CF8">
              <w:rPr>
                <w:rFonts w:cstheme="minorHAnsi"/>
              </w:rPr>
              <w:t>to contact ORSP</w:t>
            </w:r>
          </w:p>
          <w:p w14:paraId="0B6C912E" w14:textId="71B0A134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rFonts w:cstheme="minorHAnsi"/>
                <w:sz w:val="20"/>
                <w:szCs w:val="20"/>
              </w:rPr>
              <w:t>Prison’s Fin</w:t>
            </w:r>
            <w:bookmarkStart w:id="2" w:name="_GoBack"/>
            <w:bookmarkEnd w:id="2"/>
            <w:r w:rsidRPr="00D70944">
              <w:rPr>
                <w:rFonts w:cstheme="minorHAnsi"/>
                <w:sz w:val="20"/>
                <w:szCs w:val="20"/>
              </w:rPr>
              <w:t>ance Business Partner</w:t>
            </w:r>
          </w:p>
        </w:tc>
      </w:tr>
      <w:tr w:rsidR="00307421" w14:paraId="12088050" w14:textId="77777777" w:rsidTr="00183C05">
        <w:trPr>
          <w:trHeight w:val="769"/>
        </w:trPr>
        <w:tc>
          <w:tcPr>
            <w:tcW w:w="1852" w:type="dxa"/>
          </w:tcPr>
          <w:p w14:paraId="17BD39E7" w14:textId="202540D4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rFonts w:cstheme="minorHAnsi"/>
                <w:sz w:val="20"/>
                <w:szCs w:val="20"/>
              </w:rPr>
              <w:t>Temporary Mobile Pin Phones for prisoners without in-cell telephony</w:t>
            </w:r>
          </w:p>
        </w:tc>
        <w:tc>
          <w:tcPr>
            <w:tcW w:w="4669" w:type="dxa"/>
          </w:tcPr>
          <w:p w14:paraId="5162FF46" w14:textId="5034BF16" w:rsidR="00350083" w:rsidRPr="00D70944" w:rsidRDefault="00350083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r w:rsidRPr="00D70944">
              <w:rPr>
                <w:sz w:val="20"/>
                <w:szCs w:val="20"/>
              </w:rPr>
              <w:t xml:space="preserve">Request submitted to security team which will assess suitability and send out </w:t>
            </w:r>
            <w:r w:rsidRPr="00D70944">
              <w:rPr>
                <w:rFonts w:cs="Arial"/>
                <w:sz w:val="20"/>
                <w:szCs w:val="20"/>
              </w:rPr>
              <w:t xml:space="preserve">mobile phones to establishments (minimum 5 working days). </w:t>
            </w:r>
          </w:p>
        </w:tc>
        <w:tc>
          <w:tcPr>
            <w:tcW w:w="4622" w:type="dxa"/>
          </w:tcPr>
          <w:p w14:paraId="5DE80EA6" w14:textId="66E4F48A" w:rsidR="00350083" w:rsidRPr="00C97CB2" w:rsidRDefault="00C97CB2" w:rsidP="00C97CB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Resourcing implications and logistics for reintroducing therefore consultation with security team is required before approval can be granted.</w:t>
            </w:r>
            <w:r w:rsidR="005379D7">
              <w:rPr>
                <w:rFonts w:cstheme="minorHAnsi"/>
                <w:sz w:val="20"/>
                <w:szCs w:val="20"/>
              </w:rPr>
              <w:t xml:space="preserve"> </w:t>
            </w:r>
            <w:r w:rsidR="00350083" w:rsidRPr="00D70944">
              <w:rPr>
                <w:sz w:val="20"/>
                <w:szCs w:val="20"/>
              </w:rPr>
              <w:t>.</w:t>
            </w:r>
          </w:p>
        </w:tc>
        <w:tc>
          <w:tcPr>
            <w:tcW w:w="4851" w:type="dxa"/>
          </w:tcPr>
          <w:p w14:paraId="2A86D790" w14:textId="37A3A80A" w:rsidR="00350083" w:rsidRPr="00D70944" w:rsidRDefault="006A2984" w:rsidP="00350083">
            <w:pPr>
              <w:rPr>
                <w:b/>
                <w:bCs/>
                <w:sz w:val="20"/>
                <w:szCs w:val="20"/>
                <w:u w:val="single"/>
              </w:rPr>
            </w:pPr>
            <w:hyperlink r:id="rId19" w:history="1">
              <w:r w:rsidR="00350083" w:rsidRPr="00D70944">
                <w:rPr>
                  <w:rStyle w:val="Hyperlink"/>
                  <w:rFonts w:cstheme="minorHAnsi"/>
                  <w:sz w:val="20"/>
                  <w:szCs w:val="20"/>
                </w:rPr>
                <w:t>mobilepinmonitoring@justice.gov.uk</w:t>
              </w:r>
            </w:hyperlink>
          </w:p>
        </w:tc>
      </w:tr>
      <w:tr w:rsidR="006C7A2F" w14:paraId="02A1250B" w14:textId="77777777" w:rsidTr="00DD3428">
        <w:trPr>
          <w:trHeight w:val="409"/>
        </w:trPr>
        <w:tc>
          <w:tcPr>
            <w:tcW w:w="1852" w:type="dxa"/>
          </w:tcPr>
          <w:p w14:paraId="6B2F3E19" w14:textId="5C7D0051" w:rsidR="006C7A2F" w:rsidRPr="005608BA" w:rsidRDefault="006C7A2F" w:rsidP="006C7A2F">
            <w:pPr>
              <w:rPr>
                <w:sz w:val="20"/>
                <w:szCs w:val="20"/>
              </w:rPr>
            </w:pPr>
            <w:r w:rsidRPr="005608BA">
              <w:rPr>
                <w:sz w:val="20"/>
                <w:szCs w:val="20"/>
              </w:rPr>
              <w:t>Supplementary food packs</w:t>
            </w:r>
          </w:p>
        </w:tc>
        <w:tc>
          <w:tcPr>
            <w:tcW w:w="9291" w:type="dxa"/>
            <w:gridSpan w:val="2"/>
            <w:shd w:val="clear" w:color="auto" w:fill="E7E6E6" w:themeFill="background2"/>
            <w:vAlign w:val="center"/>
          </w:tcPr>
          <w:p w14:paraId="35766983" w14:textId="60AC4F46" w:rsidR="006C7A2F" w:rsidRPr="00D70944" w:rsidRDefault="006C7A2F" w:rsidP="009627C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31141">
              <w:rPr>
                <w:rFonts w:cstheme="minorHAnsi"/>
                <w:sz w:val="20"/>
                <w:szCs w:val="20"/>
              </w:rPr>
              <w:t xml:space="preserve">This was switched off by the end of September </w:t>
            </w:r>
            <w:r w:rsidR="00A4025A">
              <w:rPr>
                <w:rFonts w:cstheme="minorHAnsi"/>
                <w:sz w:val="20"/>
                <w:szCs w:val="20"/>
              </w:rPr>
              <w:t>and</w:t>
            </w:r>
            <w:r w:rsidRPr="00531141">
              <w:rPr>
                <w:rFonts w:cstheme="minorHAnsi"/>
                <w:sz w:val="20"/>
                <w:szCs w:val="20"/>
              </w:rPr>
              <w:t xml:space="preserve"> </w:t>
            </w:r>
            <w:r w:rsidRPr="00531141">
              <w:rPr>
                <w:rFonts w:cstheme="minorHAnsi"/>
                <w:b/>
                <w:bCs/>
                <w:sz w:val="20"/>
                <w:szCs w:val="20"/>
                <w:u w:val="single"/>
              </w:rPr>
              <w:t>will not</w:t>
            </w:r>
            <w:r w:rsidRPr="005311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31141">
              <w:rPr>
                <w:rFonts w:cstheme="minorHAnsi"/>
                <w:sz w:val="20"/>
                <w:szCs w:val="20"/>
              </w:rPr>
              <w:t>be reintroduced.</w:t>
            </w:r>
          </w:p>
        </w:tc>
        <w:tc>
          <w:tcPr>
            <w:tcW w:w="4851" w:type="dxa"/>
          </w:tcPr>
          <w:p w14:paraId="1ABA92DF" w14:textId="126BE834" w:rsidR="006C7A2F" w:rsidRPr="00D70944" w:rsidRDefault="006C7A2F" w:rsidP="006C7A2F">
            <w:pPr>
              <w:rPr>
                <w:b/>
                <w:bCs/>
                <w:sz w:val="20"/>
                <w:szCs w:val="20"/>
                <w:u w:val="single"/>
              </w:rPr>
            </w:pPr>
            <w:r w:rsidRPr="00531141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6C7A2F" w14:paraId="42A85377" w14:textId="77777777" w:rsidTr="00DD3428">
        <w:trPr>
          <w:trHeight w:val="409"/>
        </w:trPr>
        <w:tc>
          <w:tcPr>
            <w:tcW w:w="1852" w:type="dxa"/>
          </w:tcPr>
          <w:p w14:paraId="24513377" w14:textId="2A4EEA5F" w:rsidR="006C7A2F" w:rsidRPr="009627C9" w:rsidRDefault="00307421" w:rsidP="006C7A2F">
            <w:pPr>
              <w:rPr>
                <w:sz w:val="20"/>
                <w:szCs w:val="20"/>
              </w:rPr>
            </w:pPr>
            <w:r w:rsidRPr="009627C9">
              <w:rPr>
                <w:sz w:val="20"/>
                <w:szCs w:val="20"/>
              </w:rPr>
              <w:t>iPads</w:t>
            </w:r>
          </w:p>
        </w:tc>
        <w:tc>
          <w:tcPr>
            <w:tcW w:w="9291" w:type="dxa"/>
            <w:gridSpan w:val="2"/>
            <w:shd w:val="clear" w:color="auto" w:fill="E7E6E6" w:themeFill="background2"/>
            <w:vAlign w:val="center"/>
          </w:tcPr>
          <w:p w14:paraId="063B265A" w14:textId="50B7C9F6" w:rsidR="006C7A2F" w:rsidRPr="00D70944" w:rsidRDefault="006C7A2F" w:rsidP="009627C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31141">
              <w:rPr>
                <w:rFonts w:cstheme="minorHAnsi"/>
                <w:sz w:val="20"/>
                <w:szCs w:val="20"/>
              </w:rPr>
              <w:t>Already in use</w:t>
            </w:r>
          </w:p>
        </w:tc>
        <w:tc>
          <w:tcPr>
            <w:tcW w:w="4851" w:type="dxa"/>
          </w:tcPr>
          <w:p w14:paraId="263B0E82" w14:textId="35CBCF9D" w:rsidR="006C7A2F" w:rsidRPr="00D70944" w:rsidRDefault="006C7A2F" w:rsidP="006C7A2F">
            <w:pPr>
              <w:rPr>
                <w:b/>
                <w:bCs/>
                <w:sz w:val="20"/>
                <w:szCs w:val="20"/>
                <w:u w:val="single"/>
              </w:rPr>
            </w:pPr>
            <w:r w:rsidRPr="00531141">
              <w:rPr>
                <w:rFonts w:cstheme="minorHAnsi"/>
                <w:sz w:val="20"/>
                <w:szCs w:val="20"/>
              </w:rPr>
              <w:t xml:space="preserve">Any queries in the meantime can be directed to </w:t>
            </w:r>
            <w:hyperlink r:id="rId20" w:history="1">
              <w:r w:rsidRPr="00531141">
                <w:rPr>
                  <w:rStyle w:val="Hyperlink"/>
                  <w:rFonts w:cstheme="minorHAnsi"/>
                  <w:sz w:val="20"/>
                  <w:szCs w:val="20"/>
                </w:rPr>
                <w:t>COVID19.RegimesOpsGuidance1@justice.gov.uk</w:t>
              </w:r>
            </w:hyperlink>
          </w:p>
        </w:tc>
      </w:tr>
    </w:tbl>
    <w:p w14:paraId="437CED72" w14:textId="3081FA9B" w:rsidR="00A232B4" w:rsidRDefault="00A232B4"/>
    <w:sectPr w:rsidR="00A232B4" w:rsidSect="00183C05">
      <w:pgSz w:w="16838" w:h="11906" w:orient="landscape"/>
      <w:pgMar w:top="1134" w:right="1440" w:bottom="1077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48B58" w16cex:dateUtc="2021-12-15T15:42:00Z"/>
  <w16cex:commentExtensible w16cex:durableId="2565C176" w16cex:dateUtc="2021-12-16T13:45:00Z"/>
  <w16cex:commentExtensible w16cex:durableId="2565C30A" w16cex:dateUtc="2021-12-16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1A26" w14:textId="77777777" w:rsidR="00C5485B" w:rsidRDefault="00C5485B" w:rsidP="000D29D7">
      <w:pPr>
        <w:spacing w:after="0" w:line="240" w:lineRule="auto"/>
      </w:pPr>
      <w:r>
        <w:separator/>
      </w:r>
    </w:p>
  </w:endnote>
  <w:endnote w:type="continuationSeparator" w:id="0">
    <w:p w14:paraId="17A54B2D" w14:textId="77777777" w:rsidR="00C5485B" w:rsidRDefault="00C5485B" w:rsidP="000D29D7">
      <w:pPr>
        <w:spacing w:after="0" w:line="240" w:lineRule="auto"/>
      </w:pPr>
      <w:r>
        <w:continuationSeparator/>
      </w:r>
    </w:p>
  </w:endnote>
  <w:endnote w:type="continuationNotice" w:id="1">
    <w:p w14:paraId="6300F69F" w14:textId="77777777" w:rsidR="00C5485B" w:rsidRDefault="00C548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5888" w14:textId="77777777" w:rsidR="00C5485B" w:rsidRDefault="00C5485B" w:rsidP="000D29D7">
      <w:pPr>
        <w:spacing w:after="0" w:line="240" w:lineRule="auto"/>
      </w:pPr>
      <w:r>
        <w:separator/>
      </w:r>
    </w:p>
  </w:footnote>
  <w:footnote w:type="continuationSeparator" w:id="0">
    <w:p w14:paraId="70640EFD" w14:textId="77777777" w:rsidR="00C5485B" w:rsidRDefault="00C5485B" w:rsidP="000D29D7">
      <w:pPr>
        <w:spacing w:after="0" w:line="240" w:lineRule="auto"/>
      </w:pPr>
      <w:r>
        <w:continuationSeparator/>
      </w:r>
    </w:p>
  </w:footnote>
  <w:footnote w:type="continuationNotice" w:id="1">
    <w:p w14:paraId="17514B64" w14:textId="77777777" w:rsidR="00C5485B" w:rsidRDefault="00C548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9FA"/>
    <w:multiLevelType w:val="hybridMultilevel"/>
    <w:tmpl w:val="99C8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56A3"/>
    <w:multiLevelType w:val="hybridMultilevel"/>
    <w:tmpl w:val="DCE0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271D"/>
    <w:multiLevelType w:val="hybridMultilevel"/>
    <w:tmpl w:val="73F61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C468B"/>
    <w:multiLevelType w:val="hybridMultilevel"/>
    <w:tmpl w:val="42E6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96D22"/>
    <w:multiLevelType w:val="hybridMultilevel"/>
    <w:tmpl w:val="11E0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7958"/>
    <w:multiLevelType w:val="hybridMultilevel"/>
    <w:tmpl w:val="CF7AF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47F8E"/>
    <w:multiLevelType w:val="hybridMultilevel"/>
    <w:tmpl w:val="7602A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C3A1E"/>
    <w:multiLevelType w:val="hybridMultilevel"/>
    <w:tmpl w:val="A0766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674666"/>
    <w:multiLevelType w:val="hybridMultilevel"/>
    <w:tmpl w:val="FA48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24C5"/>
    <w:multiLevelType w:val="hybridMultilevel"/>
    <w:tmpl w:val="A88EC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21BC4"/>
    <w:multiLevelType w:val="hybridMultilevel"/>
    <w:tmpl w:val="A5B0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F0D9D"/>
    <w:multiLevelType w:val="hybridMultilevel"/>
    <w:tmpl w:val="DE82A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237C0"/>
    <w:multiLevelType w:val="hybridMultilevel"/>
    <w:tmpl w:val="FFCE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B4"/>
    <w:rsid w:val="00007E59"/>
    <w:rsid w:val="0001146F"/>
    <w:rsid w:val="00020233"/>
    <w:rsid w:val="000225B2"/>
    <w:rsid w:val="000400B8"/>
    <w:rsid w:val="0004371D"/>
    <w:rsid w:val="00045ADF"/>
    <w:rsid w:val="000461CE"/>
    <w:rsid w:val="00056B4F"/>
    <w:rsid w:val="00062086"/>
    <w:rsid w:val="00065350"/>
    <w:rsid w:val="000670E8"/>
    <w:rsid w:val="000729D9"/>
    <w:rsid w:val="0007392E"/>
    <w:rsid w:val="00075D13"/>
    <w:rsid w:val="000803AA"/>
    <w:rsid w:val="00082CD2"/>
    <w:rsid w:val="00085F6D"/>
    <w:rsid w:val="00090C66"/>
    <w:rsid w:val="00092D41"/>
    <w:rsid w:val="000A0096"/>
    <w:rsid w:val="000A112C"/>
    <w:rsid w:val="000A1A52"/>
    <w:rsid w:val="000A6F5B"/>
    <w:rsid w:val="000B1A11"/>
    <w:rsid w:val="000D29D7"/>
    <w:rsid w:val="000E2D4A"/>
    <w:rsid w:val="000E33FD"/>
    <w:rsid w:val="000E4499"/>
    <w:rsid w:val="000F44D2"/>
    <w:rsid w:val="00103550"/>
    <w:rsid w:val="00104BC5"/>
    <w:rsid w:val="001058BE"/>
    <w:rsid w:val="00106597"/>
    <w:rsid w:val="00107963"/>
    <w:rsid w:val="001102B4"/>
    <w:rsid w:val="0011059B"/>
    <w:rsid w:val="00117EB3"/>
    <w:rsid w:val="00131A45"/>
    <w:rsid w:val="001442FE"/>
    <w:rsid w:val="00152188"/>
    <w:rsid w:val="00152290"/>
    <w:rsid w:val="00153B58"/>
    <w:rsid w:val="00154C6B"/>
    <w:rsid w:val="0015669E"/>
    <w:rsid w:val="0015726C"/>
    <w:rsid w:val="00161AF5"/>
    <w:rsid w:val="001627BA"/>
    <w:rsid w:val="0017047A"/>
    <w:rsid w:val="0017236F"/>
    <w:rsid w:val="00175B63"/>
    <w:rsid w:val="00181E59"/>
    <w:rsid w:val="00183C05"/>
    <w:rsid w:val="0019615D"/>
    <w:rsid w:val="001961DF"/>
    <w:rsid w:val="001A21B8"/>
    <w:rsid w:val="001A3397"/>
    <w:rsid w:val="001A50DF"/>
    <w:rsid w:val="001C098F"/>
    <w:rsid w:val="001D5B73"/>
    <w:rsid w:val="001E3320"/>
    <w:rsid w:val="001E431F"/>
    <w:rsid w:val="001F1F34"/>
    <w:rsid w:val="00200A15"/>
    <w:rsid w:val="002025D9"/>
    <w:rsid w:val="00207477"/>
    <w:rsid w:val="00223061"/>
    <w:rsid w:val="0022562F"/>
    <w:rsid w:val="00226502"/>
    <w:rsid w:val="002320CC"/>
    <w:rsid w:val="0023365B"/>
    <w:rsid w:val="002440D0"/>
    <w:rsid w:val="00245249"/>
    <w:rsid w:val="002515A7"/>
    <w:rsid w:val="00252C61"/>
    <w:rsid w:val="002602A5"/>
    <w:rsid w:val="00264947"/>
    <w:rsid w:val="00264DB3"/>
    <w:rsid w:val="00270BFC"/>
    <w:rsid w:val="00286400"/>
    <w:rsid w:val="002A0F27"/>
    <w:rsid w:val="002A12DB"/>
    <w:rsid w:val="002A176A"/>
    <w:rsid w:val="002A33AD"/>
    <w:rsid w:val="002B4F32"/>
    <w:rsid w:val="002C13A6"/>
    <w:rsid w:val="002D1A3C"/>
    <w:rsid w:val="002D498A"/>
    <w:rsid w:val="002D73FD"/>
    <w:rsid w:val="002E129E"/>
    <w:rsid w:val="002F3276"/>
    <w:rsid w:val="0030164F"/>
    <w:rsid w:val="0030226C"/>
    <w:rsid w:val="00307421"/>
    <w:rsid w:val="00330E4C"/>
    <w:rsid w:val="00332112"/>
    <w:rsid w:val="00332F9B"/>
    <w:rsid w:val="0033406B"/>
    <w:rsid w:val="003358AC"/>
    <w:rsid w:val="0033708F"/>
    <w:rsid w:val="003428D6"/>
    <w:rsid w:val="00344794"/>
    <w:rsid w:val="0034768D"/>
    <w:rsid w:val="00350083"/>
    <w:rsid w:val="003628E2"/>
    <w:rsid w:val="0037775B"/>
    <w:rsid w:val="0038510A"/>
    <w:rsid w:val="00386580"/>
    <w:rsid w:val="003904BA"/>
    <w:rsid w:val="003908E2"/>
    <w:rsid w:val="00392B6C"/>
    <w:rsid w:val="003B2FC3"/>
    <w:rsid w:val="003C27A4"/>
    <w:rsid w:val="003C2D59"/>
    <w:rsid w:val="003C7B34"/>
    <w:rsid w:val="003D79F7"/>
    <w:rsid w:val="003E3B75"/>
    <w:rsid w:val="003E5B57"/>
    <w:rsid w:val="003F23E4"/>
    <w:rsid w:val="003F676B"/>
    <w:rsid w:val="00402A60"/>
    <w:rsid w:val="0040321A"/>
    <w:rsid w:val="00403E0C"/>
    <w:rsid w:val="00407A5D"/>
    <w:rsid w:val="00407E8C"/>
    <w:rsid w:val="00416BE6"/>
    <w:rsid w:val="004215E9"/>
    <w:rsid w:val="0042545F"/>
    <w:rsid w:val="004263F6"/>
    <w:rsid w:val="00432E59"/>
    <w:rsid w:val="004344B5"/>
    <w:rsid w:val="0044373D"/>
    <w:rsid w:val="00445BAA"/>
    <w:rsid w:val="004536C2"/>
    <w:rsid w:val="00456832"/>
    <w:rsid w:val="004570A4"/>
    <w:rsid w:val="004714D5"/>
    <w:rsid w:val="00472F4A"/>
    <w:rsid w:val="00473C36"/>
    <w:rsid w:val="00477ACE"/>
    <w:rsid w:val="004831B8"/>
    <w:rsid w:val="00484C12"/>
    <w:rsid w:val="00487830"/>
    <w:rsid w:val="00487B5E"/>
    <w:rsid w:val="00491351"/>
    <w:rsid w:val="00491F40"/>
    <w:rsid w:val="0049411B"/>
    <w:rsid w:val="004A2621"/>
    <w:rsid w:val="004A73AC"/>
    <w:rsid w:val="004B032C"/>
    <w:rsid w:val="004B1061"/>
    <w:rsid w:val="004B1F5F"/>
    <w:rsid w:val="004B7B64"/>
    <w:rsid w:val="004C0BB9"/>
    <w:rsid w:val="004D04F0"/>
    <w:rsid w:val="004D47A4"/>
    <w:rsid w:val="004D5DAA"/>
    <w:rsid w:val="004E1837"/>
    <w:rsid w:val="004E1BBD"/>
    <w:rsid w:val="004E4380"/>
    <w:rsid w:val="004E7DB4"/>
    <w:rsid w:val="0050204A"/>
    <w:rsid w:val="00504D66"/>
    <w:rsid w:val="00510C35"/>
    <w:rsid w:val="00512CFF"/>
    <w:rsid w:val="00521029"/>
    <w:rsid w:val="0052343D"/>
    <w:rsid w:val="00531141"/>
    <w:rsid w:val="005368EE"/>
    <w:rsid w:val="005379D7"/>
    <w:rsid w:val="0054517D"/>
    <w:rsid w:val="00556205"/>
    <w:rsid w:val="005608BA"/>
    <w:rsid w:val="00561D5E"/>
    <w:rsid w:val="00570751"/>
    <w:rsid w:val="005725B8"/>
    <w:rsid w:val="00572A3C"/>
    <w:rsid w:val="00572FAA"/>
    <w:rsid w:val="005734DD"/>
    <w:rsid w:val="00576A77"/>
    <w:rsid w:val="00577338"/>
    <w:rsid w:val="005804C7"/>
    <w:rsid w:val="00584817"/>
    <w:rsid w:val="00591368"/>
    <w:rsid w:val="00593249"/>
    <w:rsid w:val="005963C0"/>
    <w:rsid w:val="005A468A"/>
    <w:rsid w:val="005B1DED"/>
    <w:rsid w:val="005B2740"/>
    <w:rsid w:val="005B5705"/>
    <w:rsid w:val="005D3958"/>
    <w:rsid w:val="005D79C7"/>
    <w:rsid w:val="005E457E"/>
    <w:rsid w:val="005F0147"/>
    <w:rsid w:val="005F0DFE"/>
    <w:rsid w:val="005F1384"/>
    <w:rsid w:val="005F2E13"/>
    <w:rsid w:val="00604A3C"/>
    <w:rsid w:val="00604E68"/>
    <w:rsid w:val="0060504B"/>
    <w:rsid w:val="00617061"/>
    <w:rsid w:val="0062135B"/>
    <w:rsid w:val="00626C84"/>
    <w:rsid w:val="006328F6"/>
    <w:rsid w:val="00636CB5"/>
    <w:rsid w:val="00640022"/>
    <w:rsid w:val="00644966"/>
    <w:rsid w:val="00646024"/>
    <w:rsid w:val="0065071C"/>
    <w:rsid w:val="006519B9"/>
    <w:rsid w:val="00654BB2"/>
    <w:rsid w:val="00664B9E"/>
    <w:rsid w:val="00667664"/>
    <w:rsid w:val="00673728"/>
    <w:rsid w:val="00677F14"/>
    <w:rsid w:val="00683C07"/>
    <w:rsid w:val="00685B52"/>
    <w:rsid w:val="006925A3"/>
    <w:rsid w:val="00693D97"/>
    <w:rsid w:val="00695978"/>
    <w:rsid w:val="006A768D"/>
    <w:rsid w:val="006B173A"/>
    <w:rsid w:val="006C05F1"/>
    <w:rsid w:val="006C1C35"/>
    <w:rsid w:val="006C22BE"/>
    <w:rsid w:val="006C7A2F"/>
    <w:rsid w:val="006D0B68"/>
    <w:rsid w:val="006E035C"/>
    <w:rsid w:val="006F4C8D"/>
    <w:rsid w:val="006F7626"/>
    <w:rsid w:val="00702228"/>
    <w:rsid w:val="00712364"/>
    <w:rsid w:val="00712B29"/>
    <w:rsid w:val="00712D4F"/>
    <w:rsid w:val="00714505"/>
    <w:rsid w:val="00714D1E"/>
    <w:rsid w:val="0071720F"/>
    <w:rsid w:val="007175C3"/>
    <w:rsid w:val="00720ED1"/>
    <w:rsid w:val="007258D8"/>
    <w:rsid w:val="007322B9"/>
    <w:rsid w:val="00732CF6"/>
    <w:rsid w:val="0073450B"/>
    <w:rsid w:val="007420AD"/>
    <w:rsid w:val="00746266"/>
    <w:rsid w:val="00747262"/>
    <w:rsid w:val="0075480A"/>
    <w:rsid w:val="00755BD0"/>
    <w:rsid w:val="007606EF"/>
    <w:rsid w:val="00760B52"/>
    <w:rsid w:val="00764D50"/>
    <w:rsid w:val="00767D82"/>
    <w:rsid w:val="00770E19"/>
    <w:rsid w:val="00772256"/>
    <w:rsid w:val="007864BC"/>
    <w:rsid w:val="0078750F"/>
    <w:rsid w:val="00792072"/>
    <w:rsid w:val="007922CC"/>
    <w:rsid w:val="007954DB"/>
    <w:rsid w:val="007A332C"/>
    <w:rsid w:val="007B3039"/>
    <w:rsid w:val="007B64DB"/>
    <w:rsid w:val="007C1552"/>
    <w:rsid w:val="007D1498"/>
    <w:rsid w:val="007D2B65"/>
    <w:rsid w:val="007D2FA8"/>
    <w:rsid w:val="007D5FE3"/>
    <w:rsid w:val="007D6FA2"/>
    <w:rsid w:val="007D7EFC"/>
    <w:rsid w:val="007E0EBE"/>
    <w:rsid w:val="007F27CC"/>
    <w:rsid w:val="007F4502"/>
    <w:rsid w:val="007F6699"/>
    <w:rsid w:val="00801E76"/>
    <w:rsid w:val="00802AA7"/>
    <w:rsid w:val="00805499"/>
    <w:rsid w:val="00806C20"/>
    <w:rsid w:val="008123F3"/>
    <w:rsid w:val="00812527"/>
    <w:rsid w:val="00816AA9"/>
    <w:rsid w:val="00816B64"/>
    <w:rsid w:val="00817B0B"/>
    <w:rsid w:val="00817CC0"/>
    <w:rsid w:val="0082314A"/>
    <w:rsid w:val="008259BA"/>
    <w:rsid w:val="00836982"/>
    <w:rsid w:val="00857600"/>
    <w:rsid w:val="00866C12"/>
    <w:rsid w:val="00871318"/>
    <w:rsid w:val="00871908"/>
    <w:rsid w:val="0087682F"/>
    <w:rsid w:val="00881EB1"/>
    <w:rsid w:val="00887C37"/>
    <w:rsid w:val="008902E6"/>
    <w:rsid w:val="00894100"/>
    <w:rsid w:val="008A3ADE"/>
    <w:rsid w:val="008B3F95"/>
    <w:rsid w:val="008C1A51"/>
    <w:rsid w:val="008C4FBA"/>
    <w:rsid w:val="008C5D96"/>
    <w:rsid w:val="008D05D3"/>
    <w:rsid w:val="008D23BA"/>
    <w:rsid w:val="008E01CE"/>
    <w:rsid w:val="008E1C7A"/>
    <w:rsid w:val="008E2A09"/>
    <w:rsid w:val="008E58A3"/>
    <w:rsid w:val="008F1D8D"/>
    <w:rsid w:val="008F49B7"/>
    <w:rsid w:val="008F6B35"/>
    <w:rsid w:val="00905F88"/>
    <w:rsid w:val="00907C77"/>
    <w:rsid w:val="00913687"/>
    <w:rsid w:val="00916161"/>
    <w:rsid w:val="00920120"/>
    <w:rsid w:val="00925774"/>
    <w:rsid w:val="00933C3D"/>
    <w:rsid w:val="009353E1"/>
    <w:rsid w:val="00936264"/>
    <w:rsid w:val="00937126"/>
    <w:rsid w:val="009510D1"/>
    <w:rsid w:val="009625D2"/>
    <w:rsid w:val="009627C9"/>
    <w:rsid w:val="009652EE"/>
    <w:rsid w:val="00980538"/>
    <w:rsid w:val="00984549"/>
    <w:rsid w:val="009845BF"/>
    <w:rsid w:val="00992091"/>
    <w:rsid w:val="00997CE8"/>
    <w:rsid w:val="009A422E"/>
    <w:rsid w:val="009B0602"/>
    <w:rsid w:val="009B098E"/>
    <w:rsid w:val="009D7E83"/>
    <w:rsid w:val="009E68EE"/>
    <w:rsid w:val="009F20F6"/>
    <w:rsid w:val="009F48D4"/>
    <w:rsid w:val="00A0150E"/>
    <w:rsid w:val="00A10F7D"/>
    <w:rsid w:val="00A1441B"/>
    <w:rsid w:val="00A232B4"/>
    <w:rsid w:val="00A26007"/>
    <w:rsid w:val="00A27E71"/>
    <w:rsid w:val="00A34AE1"/>
    <w:rsid w:val="00A3695C"/>
    <w:rsid w:val="00A37287"/>
    <w:rsid w:val="00A4025A"/>
    <w:rsid w:val="00A42873"/>
    <w:rsid w:val="00A46A00"/>
    <w:rsid w:val="00A46EA0"/>
    <w:rsid w:val="00A50008"/>
    <w:rsid w:val="00A5217B"/>
    <w:rsid w:val="00A55847"/>
    <w:rsid w:val="00A5663C"/>
    <w:rsid w:val="00A61BA6"/>
    <w:rsid w:val="00A66431"/>
    <w:rsid w:val="00A726C3"/>
    <w:rsid w:val="00A72C0A"/>
    <w:rsid w:val="00A748B7"/>
    <w:rsid w:val="00AA41F5"/>
    <w:rsid w:val="00AA7EAA"/>
    <w:rsid w:val="00AB0124"/>
    <w:rsid w:val="00AB223E"/>
    <w:rsid w:val="00AB57E5"/>
    <w:rsid w:val="00AB7765"/>
    <w:rsid w:val="00AC5277"/>
    <w:rsid w:val="00AC68EE"/>
    <w:rsid w:val="00AC69F3"/>
    <w:rsid w:val="00AD151C"/>
    <w:rsid w:val="00AD2D21"/>
    <w:rsid w:val="00AE6827"/>
    <w:rsid w:val="00AE7FF1"/>
    <w:rsid w:val="00B02C6A"/>
    <w:rsid w:val="00B03B82"/>
    <w:rsid w:val="00B1373D"/>
    <w:rsid w:val="00B20700"/>
    <w:rsid w:val="00B20ECC"/>
    <w:rsid w:val="00B22695"/>
    <w:rsid w:val="00B23DB4"/>
    <w:rsid w:val="00B260BD"/>
    <w:rsid w:val="00B30C44"/>
    <w:rsid w:val="00B32027"/>
    <w:rsid w:val="00B365E0"/>
    <w:rsid w:val="00B40C20"/>
    <w:rsid w:val="00B435F0"/>
    <w:rsid w:val="00B47DB8"/>
    <w:rsid w:val="00B62608"/>
    <w:rsid w:val="00B646A1"/>
    <w:rsid w:val="00B70A50"/>
    <w:rsid w:val="00B70BA2"/>
    <w:rsid w:val="00B7342C"/>
    <w:rsid w:val="00B8267F"/>
    <w:rsid w:val="00B85B7C"/>
    <w:rsid w:val="00B97EA3"/>
    <w:rsid w:val="00BA14CF"/>
    <w:rsid w:val="00BB1D47"/>
    <w:rsid w:val="00BC0C7E"/>
    <w:rsid w:val="00BC1260"/>
    <w:rsid w:val="00BC53A6"/>
    <w:rsid w:val="00BD5673"/>
    <w:rsid w:val="00BE1E55"/>
    <w:rsid w:val="00BE3FBC"/>
    <w:rsid w:val="00BF1AA7"/>
    <w:rsid w:val="00BF1FA5"/>
    <w:rsid w:val="00C0522B"/>
    <w:rsid w:val="00C13B06"/>
    <w:rsid w:val="00C2176A"/>
    <w:rsid w:val="00C21972"/>
    <w:rsid w:val="00C23045"/>
    <w:rsid w:val="00C34A77"/>
    <w:rsid w:val="00C41CC6"/>
    <w:rsid w:val="00C47790"/>
    <w:rsid w:val="00C47B92"/>
    <w:rsid w:val="00C50C4E"/>
    <w:rsid w:val="00C540AD"/>
    <w:rsid w:val="00C5485B"/>
    <w:rsid w:val="00C56017"/>
    <w:rsid w:val="00C6139D"/>
    <w:rsid w:val="00C67549"/>
    <w:rsid w:val="00C71BC1"/>
    <w:rsid w:val="00C72A16"/>
    <w:rsid w:val="00C74484"/>
    <w:rsid w:val="00C74D28"/>
    <w:rsid w:val="00C75126"/>
    <w:rsid w:val="00C82EC4"/>
    <w:rsid w:val="00C838CF"/>
    <w:rsid w:val="00C84E67"/>
    <w:rsid w:val="00C84FD5"/>
    <w:rsid w:val="00C921B7"/>
    <w:rsid w:val="00C923B7"/>
    <w:rsid w:val="00C935B2"/>
    <w:rsid w:val="00C93AA5"/>
    <w:rsid w:val="00C97CB2"/>
    <w:rsid w:val="00CB10EF"/>
    <w:rsid w:val="00CB6168"/>
    <w:rsid w:val="00CB6EE7"/>
    <w:rsid w:val="00CC22C7"/>
    <w:rsid w:val="00CC3065"/>
    <w:rsid w:val="00CC52E6"/>
    <w:rsid w:val="00CD589C"/>
    <w:rsid w:val="00CD64B8"/>
    <w:rsid w:val="00CE520E"/>
    <w:rsid w:val="00CE54A3"/>
    <w:rsid w:val="00CE7074"/>
    <w:rsid w:val="00CF4DB5"/>
    <w:rsid w:val="00CF6926"/>
    <w:rsid w:val="00D03CB3"/>
    <w:rsid w:val="00D173C3"/>
    <w:rsid w:val="00D22D96"/>
    <w:rsid w:val="00D278F9"/>
    <w:rsid w:val="00D37427"/>
    <w:rsid w:val="00D4124E"/>
    <w:rsid w:val="00D513BB"/>
    <w:rsid w:val="00D622DF"/>
    <w:rsid w:val="00D642E0"/>
    <w:rsid w:val="00D667F7"/>
    <w:rsid w:val="00D66EB9"/>
    <w:rsid w:val="00D70944"/>
    <w:rsid w:val="00D84767"/>
    <w:rsid w:val="00D90948"/>
    <w:rsid w:val="00D90976"/>
    <w:rsid w:val="00DA041D"/>
    <w:rsid w:val="00DA7B28"/>
    <w:rsid w:val="00DB0E4C"/>
    <w:rsid w:val="00DB4914"/>
    <w:rsid w:val="00DB50FD"/>
    <w:rsid w:val="00DB6B00"/>
    <w:rsid w:val="00DD3428"/>
    <w:rsid w:val="00DD7FBD"/>
    <w:rsid w:val="00DE160E"/>
    <w:rsid w:val="00DF459A"/>
    <w:rsid w:val="00DF6946"/>
    <w:rsid w:val="00E00E88"/>
    <w:rsid w:val="00E03C94"/>
    <w:rsid w:val="00E064B6"/>
    <w:rsid w:val="00E141C2"/>
    <w:rsid w:val="00E1450B"/>
    <w:rsid w:val="00E14B2A"/>
    <w:rsid w:val="00E37AAB"/>
    <w:rsid w:val="00E45B5C"/>
    <w:rsid w:val="00E60658"/>
    <w:rsid w:val="00E64634"/>
    <w:rsid w:val="00E76B3C"/>
    <w:rsid w:val="00E838D5"/>
    <w:rsid w:val="00E84AE7"/>
    <w:rsid w:val="00E8571C"/>
    <w:rsid w:val="00E85E06"/>
    <w:rsid w:val="00EA2777"/>
    <w:rsid w:val="00EA333C"/>
    <w:rsid w:val="00EA3E3F"/>
    <w:rsid w:val="00EB2124"/>
    <w:rsid w:val="00EB26C8"/>
    <w:rsid w:val="00EC415E"/>
    <w:rsid w:val="00ED2CC1"/>
    <w:rsid w:val="00ED3A8E"/>
    <w:rsid w:val="00EE486A"/>
    <w:rsid w:val="00EE5836"/>
    <w:rsid w:val="00EE7962"/>
    <w:rsid w:val="00EF2011"/>
    <w:rsid w:val="00F01DD0"/>
    <w:rsid w:val="00F126F8"/>
    <w:rsid w:val="00F12FCD"/>
    <w:rsid w:val="00F17113"/>
    <w:rsid w:val="00F243DF"/>
    <w:rsid w:val="00F30875"/>
    <w:rsid w:val="00F3117F"/>
    <w:rsid w:val="00F31DBC"/>
    <w:rsid w:val="00F335DC"/>
    <w:rsid w:val="00F37D7E"/>
    <w:rsid w:val="00F41F28"/>
    <w:rsid w:val="00F46C58"/>
    <w:rsid w:val="00F508CB"/>
    <w:rsid w:val="00F55149"/>
    <w:rsid w:val="00F609C8"/>
    <w:rsid w:val="00F626C5"/>
    <w:rsid w:val="00F64B31"/>
    <w:rsid w:val="00F71725"/>
    <w:rsid w:val="00F807EF"/>
    <w:rsid w:val="00F86EB7"/>
    <w:rsid w:val="00F905AD"/>
    <w:rsid w:val="00F90614"/>
    <w:rsid w:val="00F90721"/>
    <w:rsid w:val="00F90739"/>
    <w:rsid w:val="00F96433"/>
    <w:rsid w:val="00FA1E1A"/>
    <w:rsid w:val="00FA4BC0"/>
    <w:rsid w:val="00FA5A31"/>
    <w:rsid w:val="00FB4D9E"/>
    <w:rsid w:val="00FB7CF8"/>
    <w:rsid w:val="00FC2C47"/>
    <w:rsid w:val="00FC3998"/>
    <w:rsid w:val="00FD39C3"/>
    <w:rsid w:val="00FD5D22"/>
    <w:rsid w:val="00FE346F"/>
    <w:rsid w:val="00FE463B"/>
    <w:rsid w:val="00FE4BCF"/>
    <w:rsid w:val="00FE62D9"/>
    <w:rsid w:val="3B5164F9"/>
    <w:rsid w:val="45F549A0"/>
    <w:rsid w:val="47BC8688"/>
    <w:rsid w:val="55C7186C"/>
    <w:rsid w:val="619F47D8"/>
    <w:rsid w:val="6A4675DA"/>
    <w:rsid w:val="6E634F61"/>
    <w:rsid w:val="709F70C6"/>
    <w:rsid w:val="7F4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771F"/>
  <w15:chartTrackingRefBased/>
  <w15:docId w15:val="{2138D551-E111-4AC2-9FF0-0AC85A46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2B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3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2B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4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007E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2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D7"/>
  </w:style>
  <w:style w:type="paragraph" w:styleId="Footer">
    <w:name w:val="footer"/>
    <w:basedOn w:val="Normal"/>
    <w:link w:val="FooterChar"/>
    <w:uiPriority w:val="99"/>
    <w:unhideWhenUsed/>
    <w:rsid w:val="000D2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D7"/>
  </w:style>
  <w:style w:type="character" w:styleId="Mention">
    <w:name w:val="Mention"/>
    <w:basedOn w:val="DefaultParagraphFont"/>
    <w:uiPriority w:val="99"/>
    <w:unhideWhenUsed/>
    <w:rsid w:val="00636CB5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deocalls@digital.justice.gov.uk" TargetMode="External"/><Relationship Id="rId18" Type="http://schemas.openxmlformats.org/officeDocument/2006/relationships/hyperlink" Target="mailto:COVID19.RegimesOpsGuidance1@justice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OVID19.RegimesOpsGuidance1@justice.gov.uk" TargetMode="External"/><Relationship Id="rId17" Type="http://schemas.openxmlformats.org/officeDocument/2006/relationships/hyperlink" Target="https://www.gov.uk/government/publications/incentives-policy-framewo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perational_policy1@justice.gov.uk" TargetMode="External"/><Relationship Id="rId20" Type="http://schemas.openxmlformats.org/officeDocument/2006/relationships/hyperlink" Target="mailto:COVID19.RegimesOpsGuidance1@justice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ID19.RegimesOpsGuidance1@justice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perational_policy1@justice.gov.uk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mailto:mobilepinmonitoring@justice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perational_policy1@justice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8391F16F48C40A437DE8AF5458B29" ma:contentTypeVersion="18" ma:contentTypeDescription="Create a new document." ma:contentTypeScope="" ma:versionID="8434f3a06e6c2db13b42af6d23e9fd34">
  <xsd:schema xmlns:xsd="http://www.w3.org/2001/XMLSchema" xmlns:xs="http://www.w3.org/2001/XMLSchema" xmlns:p="http://schemas.microsoft.com/office/2006/metadata/properties" xmlns:ns2="124173a7-9bd2-47c9-a215-82e586799cf2" xmlns:ns3="563fc604-81a4-48b2-a89d-ec49cc0f1a5a" targetNamespace="http://schemas.microsoft.com/office/2006/metadata/properties" ma:root="true" ma:fieldsID="1df9b407a63f3b47071448c36368697f" ns2:_="" ns3:_="">
    <xsd:import namespace="124173a7-9bd2-47c9-a215-82e586799cf2"/>
    <xsd:import namespace="563fc604-81a4-48b2-a89d-ec49cc0f1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_x0020_Created" minOccurs="0"/>
                <xsd:element ref="ns2:adnj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ntext" minOccurs="0"/>
                <xsd:element ref="ns2:DecisionMade_x003f_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73a7-9bd2-47c9-a215-82e586799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Created" ma:index="14" nillable="true" ma:displayName="Date_Created" ma:format="DateOnly" ma:internalName="Date_x0020_Created">
      <xsd:simpleType>
        <xsd:restriction base="dms:DateTime"/>
      </xsd:simpleType>
    </xsd:element>
    <xsd:element name="adnj" ma:index="15" nillable="true" ma:displayName="Date and time" ma:internalName="adnj">
      <xsd:simpleType>
        <xsd:restriction base="dms:DateTim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ontext" ma:index="20" nillable="true" ma:displayName="Context" ma:description="Who the ask came from. Any decisions. Etc." ma:format="Dropdown" ma:internalName="Context">
      <xsd:simpleType>
        <xsd:restriction base="dms:Note">
          <xsd:maxLength value="255"/>
        </xsd:restriction>
      </xsd:simpleType>
    </xsd:element>
    <xsd:element name="DecisionMade_x003f_" ma:index="21" nillable="true" ma:displayName="Decision Made?" ma:default="1" ma:format="Dropdown" ma:internalName="DecisionMade_x003f_">
      <xsd:simpleType>
        <xsd:restriction base="dms:Boolea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fc604-81a4-48b2-a89d-ec49cc0f1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Made_x003f_ xmlns="124173a7-9bd2-47c9-a215-82e586799cf2">true</DecisionMade_x003f_>
    <Date_x0020_Created xmlns="124173a7-9bd2-47c9-a215-82e586799cf2" xsi:nil="true"/>
    <Context xmlns="124173a7-9bd2-47c9-a215-82e586799cf2" xsi:nil="true"/>
    <adnj xmlns="124173a7-9bd2-47c9-a215-82e586799c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379B-B755-435C-96F2-C37444CFF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173a7-9bd2-47c9-a215-82e586799cf2"/>
    <ds:schemaRef ds:uri="563fc604-81a4-48b2-a89d-ec49cc0f1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AB8B2-CCEF-4CC0-8158-99F9236A6AF1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63fc604-81a4-48b2-a89d-ec49cc0f1a5a"/>
    <ds:schemaRef ds:uri="124173a7-9bd2-47c9-a215-82e586799cf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E49D50-D6B5-4A57-8B0B-DF8F713A2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2A510-7CDD-4823-BCCD-F24CA8EB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Links>
    <vt:vector size="54" baseType="variant">
      <vt:variant>
        <vt:i4>1900657</vt:i4>
      </vt:variant>
      <vt:variant>
        <vt:i4>27</vt:i4>
      </vt:variant>
      <vt:variant>
        <vt:i4>0</vt:i4>
      </vt:variant>
      <vt:variant>
        <vt:i4>5</vt:i4>
      </vt:variant>
      <vt:variant>
        <vt:lpwstr>mailto:COVID19.RegimesOpsGuidance1@justice.gov.uk</vt:lpwstr>
      </vt:variant>
      <vt:variant>
        <vt:lpwstr/>
      </vt:variant>
      <vt:variant>
        <vt:i4>589926</vt:i4>
      </vt:variant>
      <vt:variant>
        <vt:i4>24</vt:i4>
      </vt:variant>
      <vt:variant>
        <vt:i4>0</vt:i4>
      </vt:variant>
      <vt:variant>
        <vt:i4>5</vt:i4>
      </vt:variant>
      <vt:variant>
        <vt:lpwstr>mailto:mobilepinmonitoring@justice.gov.uk</vt:lpwstr>
      </vt:variant>
      <vt:variant>
        <vt:lpwstr/>
      </vt:variant>
      <vt:variant>
        <vt:i4>1900657</vt:i4>
      </vt:variant>
      <vt:variant>
        <vt:i4>21</vt:i4>
      </vt:variant>
      <vt:variant>
        <vt:i4>0</vt:i4>
      </vt:variant>
      <vt:variant>
        <vt:i4>5</vt:i4>
      </vt:variant>
      <vt:variant>
        <vt:lpwstr>mailto:COVID19.RegimesOpsGuidance1@justice.gov.uk</vt:lpwstr>
      </vt:variant>
      <vt:variant>
        <vt:lpwstr/>
      </vt:variant>
      <vt:variant>
        <vt:i4>6488190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https://www.gov.uk/government/publications/incentives-policy-framework</vt:lpwstr>
      </vt:variant>
      <vt:variant>
        <vt:lpwstr/>
      </vt:variant>
      <vt:variant>
        <vt:i4>6094943</vt:i4>
      </vt:variant>
      <vt:variant>
        <vt:i4>15</vt:i4>
      </vt:variant>
      <vt:variant>
        <vt:i4>0</vt:i4>
      </vt:variant>
      <vt:variant>
        <vt:i4>5</vt:i4>
      </vt:variant>
      <vt:variant>
        <vt:lpwstr>mailto:Operational_policy1@justice.gov.uk</vt:lpwstr>
      </vt:variant>
      <vt:variant>
        <vt:lpwstr/>
      </vt:variant>
      <vt:variant>
        <vt:i4>6094943</vt:i4>
      </vt:variant>
      <vt:variant>
        <vt:i4>12</vt:i4>
      </vt:variant>
      <vt:variant>
        <vt:i4>0</vt:i4>
      </vt:variant>
      <vt:variant>
        <vt:i4>5</vt:i4>
      </vt:variant>
      <vt:variant>
        <vt:lpwstr>mailto:Operational_policy1@justice.gov.uk</vt:lpwstr>
      </vt:variant>
      <vt:variant>
        <vt:lpwstr/>
      </vt:variant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mailto:Operational_policy1@justice.gov.uk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mailto:videocalls@digital.justice.gov.uk</vt:lpwstr>
      </vt:variant>
      <vt:variant>
        <vt:lpwstr/>
      </vt:variant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mailto:COVID19.RegimesOpsGuidance1@justice.gov.uk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Livsey, Rachel</dc:creator>
  <cp:keywords/>
  <dc:description/>
  <cp:lastModifiedBy>Khan, Razina</cp:lastModifiedBy>
  <cp:revision>2</cp:revision>
  <dcterms:created xsi:type="dcterms:W3CDTF">2021-12-16T14:24:00Z</dcterms:created>
  <dcterms:modified xsi:type="dcterms:W3CDTF">2021-12-16T14:24:00Z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0x01010062D8391F16F48C40A437DE8AF5458B29</vt:lpwstr>
  </property>
</Properties>
</file>