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76" w14:textId="373BAE14" w:rsidR="002F2350" w:rsidRPr="002F2350" w:rsidRDefault="002F2350" w:rsidP="004F78CB">
      <w:pPr>
        <w:tabs>
          <w:tab w:val="left" w:pos="284"/>
          <w:tab w:val="left" w:pos="720"/>
        </w:tabs>
        <w:spacing w:after="0" w:line="240" w:lineRule="auto"/>
        <w:jc w:val="center"/>
        <w:rPr>
          <w:rFonts w:cs="Arial"/>
        </w:rPr>
      </w:pPr>
      <w:r w:rsidRPr="00263DB2">
        <w:rPr>
          <w:rFonts w:ascii="Calibri" w:hAnsi="Calibri" w:cs="Times New Roman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0" allowOverlap="1" wp14:anchorId="072622C2" wp14:editId="5780E763">
            <wp:simplePos x="0" y="0"/>
            <wp:positionH relativeFrom="page">
              <wp:posOffset>657225</wp:posOffset>
            </wp:positionH>
            <wp:positionV relativeFrom="page">
              <wp:posOffset>314326</wp:posOffset>
            </wp:positionV>
            <wp:extent cx="1057275" cy="469820"/>
            <wp:effectExtent l="0" t="0" r="0" b="6985"/>
            <wp:wrapNone/>
            <wp:docPr id="4" name="Picture 4" descr="HM Prison &amp; Probation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 Prison &amp; Probation Serv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41" cy="472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  <w:lang w:eastAsia="en-GB"/>
        </w:rPr>
        <w:t xml:space="preserve">Prisoner </w:t>
      </w:r>
      <w:r w:rsidRPr="00231107">
        <w:rPr>
          <w:rFonts w:cstheme="minorHAnsi"/>
          <w:b/>
          <w:sz w:val="24"/>
          <w:szCs w:val="24"/>
          <w:lang w:eastAsia="en-GB"/>
        </w:rPr>
        <w:t>Wellbeing Fund</w:t>
      </w:r>
      <w:r w:rsidR="00DE7371">
        <w:rPr>
          <w:rFonts w:cstheme="minorHAnsi"/>
          <w:b/>
          <w:sz w:val="24"/>
          <w:szCs w:val="24"/>
          <w:lang w:eastAsia="en-GB"/>
        </w:rPr>
        <w:t xml:space="preserve"> Record</w:t>
      </w:r>
      <w:r w:rsidR="00E27B9C">
        <w:rPr>
          <w:rFonts w:cstheme="minorHAnsi"/>
          <w:b/>
          <w:sz w:val="24"/>
          <w:szCs w:val="24"/>
          <w:lang w:eastAsia="en-GB"/>
        </w:rPr>
        <w:br/>
      </w:r>
    </w:p>
    <w:p w14:paraId="13424139" w14:textId="7B884E95" w:rsidR="004F78CB" w:rsidRDefault="002F2350" w:rsidP="004F78CB">
      <w:pPr>
        <w:spacing w:after="0" w:line="240" w:lineRule="auto"/>
        <w:ind w:left="-284"/>
        <w:rPr>
          <w:rFonts w:cstheme="minorHAnsi"/>
          <w:lang w:eastAsia="en-GB"/>
        </w:rPr>
      </w:pPr>
      <w:r w:rsidRPr="00231107">
        <w:rPr>
          <w:rFonts w:cstheme="minorHAnsi"/>
          <w:lang w:eastAsia="en-GB"/>
        </w:rPr>
        <w:t xml:space="preserve">Please use this form to </w:t>
      </w:r>
      <w:r w:rsidR="00DE7371">
        <w:rPr>
          <w:rFonts w:cstheme="minorHAnsi"/>
          <w:lang w:eastAsia="en-GB"/>
        </w:rPr>
        <w:t>record</w:t>
      </w:r>
      <w:r w:rsidRPr="00231107">
        <w:rPr>
          <w:rFonts w:cstheme="minorHAnsi"/>
          <w:lang w:eastAsia="en-GB"/>
        </w:rPr>
        <w:t xml:space="preserve"> the details of the items that have been ordered to improve </w:t>
      </w:r>
      <w:r w:rsidRPr="00263DB2">
        <w:rPr>
          <w:rFonts w:cstheme="minorHAnsi"/>
          <w:lang w:eastAsia="en-GB"/>
        </w:rPr>
        <w:t xml:space="preserve">prisoner </w:t>
      </w:r>
      <w:r w:rsidRPr="00231107">
        <w:rPr>
          <w:rFonts w:cstheme="minorHAnsi"/>
          <w:lang w:eastAsia="en-GB"/>
        </w:rPr>
        <w:t xml:space="preserve">wellbeing </w:t>
      </w:r>
      <w:r w:rsidRPr="00263DB2">
        <w:rPr>
          <w:rFonts w:cstheme="minorHAnsi"/>
        </w:rPr>
        <w:t>over Christmas and into the New Year</w:t>
      </w:r>
      <w:r w:rsidRPr="00231107">
        <w:rPr>
          <w:rFonts w:cstheme="minorHAnsi"/>
          <w:lang w:eastAsia="en-GB"/>
        </w:rPr>
        <w:t xml:space="preserve">.  </w:t>
      </w:r>
      <w:r w:rsidRPr="00DE7371">
        <w:rPr>
          <w:rFonts w:cstheme="minorHAnsi"/>
          <w:lang w:eastAsia="en-GB"/>
        </w:rPr>
        <w:t xml:space="preserve">You should include your current population and the corresponding value of </w:t>
      </w:r>
      <w:r w:rsidRPr="004F78CB">
        <w:rPr>
          <w:rFonts w:cstheme="minorHAnsi"/>
          <w:lang w:eastAsia="en-GB"/>
        </w:rPr>
        <w:t>the fund.</w:t>
      </w:r>
      <w:r w:rsidR="007C1903" w:rsidRPr="004F78CB">
        <w:rPr>
          <w:rFonts w:cstheme="minorHAnsi"/>
          <w:lang w:eastAsia="en-GB"/>
        </w:rPr>
        <w:t xml:space="preserve">  </w:t>
      </w:r>
    </w:p>
    <w:p w14:paraId="2514DCCE" w14:textId="77777777" w:rsidR="004F78CB" w:rsidRDefault="004F78CB" w:rsidP="004F78CB">
      <w:pPr>
        <w:spacing w:after="0" w:line="240" w:lineRule="auto"/>
        <w:ind w:left="-284"/>
        <w:rPr>
          <w:rFonts w:cstheme="minorHAnsi"/>
          <w:lang w:eastAsia="en-GB"/>
        </w:rPr>
      </w:pPr>
    </w:p>
    <w:p w14:paraId="13821F42" w14:textId="21A30075" w:rsidR="004F78CB" w:rsidRDefault="00E27B9C" w:rsidP="004F78CB">
      <w:pPr>
        <w:spacing w:after="0" w:line="240" w:lineRule="auto"/>
        <w:ind w:left="-284"/>
        <w:rPr>
          <w:rFonts w:cstheme="minorHAnsi"/>
          <w:lang w:eastAsia="en-GB"/>
        </w:rPr>
      </w:pPr>
      <w:r>
        <w:rPr>
          <w:rFonts w:cstheme="minorHAnsi"/>
          <w:b/>
          <w:bCs/>
        </w:rPr>
        <w:t xml:space="preserve">There is no approvals </w:t>
      </w:r>
      <w:r w:rsidR="004F78CB" w:rsidRPr="004F78CB">
        <w:rPr>
          <w:rFonts w:cstheme="minorHAnsi"/>
          <w:b/>
          <w:bCs/>
        </w:rPr>
        <w:t>process</w:t>
      </w:r>
      <w:r>
        <w:rPr>
          <w:rFonts w:cstheme="minorHAnsi"/>
          <w:b/>
          <w:bCs/>
        </w:rPr>
        <w:t xml:space="preserve"> for this spend and the </w:t>
      </w:r>
      <w:r w:rsidR="004F78CB">
        <w:rPr>
          <w:rFonts w:cstheme="minorHAnsi"/>
          <w:b/>
          <w:bCs/>
        </w:rPr>
        <w:t xml:space="preserve">items are to be </w:t>
      </w:r>
      <w:r w:rsidR="004F78CB" w:rsidRPr="004F78CB">
        <w:rPr>
          <w:rFonts w:cstheme="minorHAnsi"/>
          <w:b/>
          <w:bCs/>
        </w:rPr>
        <w:t>purchase</w:t>
      </w:r>
      <w:r w:rsidR="004F78CB">
        <w:rPr>
          <w:rFonts w:cstheme="minorHAnsi"/>
          <w:b/>
          <w:bCs/>
        </w:rPr>
        <w:t>d</w:t>
      </w:r>
      <w:r w:rsidR="004F78CB" w:rsidRPr="004F78CB">
        <w:rPr>
          <w:rFonts w:cstheme="minorHAnsi"/>
          <w:b/>
          <w:bCs/>
        </w:rPr>
        <w:t xml:space="preserve"> as an approved overspend.</w:t>
      </w:r>
      <w:r w:rsidR="004F78CB">
        <w:rPr>
          <w:rFonts w:cstheme="minorHAnsi"/>
          <w:lang w:eastAsia="en-GB"/>
        </w:rPr>
        <w:t xml:space="preserve">  </w:t>
      </w:r>
      <w:r w:rsidR="007C1903" w:rsidRPr="00231107">
        <w:rPr>
          <w:rFonts w:cstheme="minorHAnsi"/>
          <w:lang w:eastAsia="en-GB"/>
        </w:rPr>
        <w:t xml:space="preserve">Completed forms must be emailed to </w:t>
      </w:r>
      <w:hyperlink r:id="rId6" w:history="1">
        <w:r w:rsidR="007C1903" w:rsidRPr="00231107">
          <w:rPr>
            <w:rFonts w:cstheme="minorHAnsi"/>
            <w:color w:val="0000FF"/>
            <w:u w:val="single"/>
            <w:lang w:eastAsia="en-GB"/>
          </w:rPr>
          <w:t>centralFBP@justice.gov.uk</w:t>
        </w:r>
      </w:hyperlink>
      <w:r w:rsidR="007C1903" w:rsidRPr="00231107">
        <w:rPr>
          <w:rFonts w:cstheme="minorHAnsi"/>
          <w:lang w:eastAsia="en-GB"/>
        </w:rPr>
        <w:t xml:space="preserve"> and copied (cc) to </w:t>
      </w:r>
      <w:hyperlink r:id="rId7" w:history="1">
        <w:r w:rsidR="007C1903" w:rsidRPr="00231107">
          <w:rPr>
            <w:rFonts w:cstheme="minorHAnsi"/>
            <w:color w:val="0000FF"/>
            <w:u w:val="single"/>
            <w:lang w:eastAsia="en-GB"/>
          </w:rPr>
          <w:t>SaferCustodyPolicyandLearning@justice.gov.uk</w:t>
        </w:r>
      </w:hyperlink>
      <w:r w:rsidR="007C1903" w:rsidRPr="007C1903">
        <w:rPr>
          <w:rFonts w:cstheme="minorHAnsi"/>
          <w:color w:val="0000FF"/>
          <w:lang w:eastAsia="en-GB"/>
        </w:rPr>
        <w:t xml:space="preserve">.  </w:t>
      </w:r>
      <w:r w:rsidR="00DE7371">
        <w:rPr>
          <w:rFonts w:cstheme="minorHAnsi"/>
          <w:lang w:eastAsia="en-GB"/>
        </w:rPr>
        <w:t>You should also keep your own local records.</w:t>
      </w:r>
      <w:r w:rsidR="004F78CB" w:rsidRPr="004F78CB">
        <w:rPr>
          <w:rFonts w:ascii="Arial" w:hAnsi="Arial" w:cs="Arial"/>
          <w:b/>
          <w:bCs/>
        </w:rPr>
        <w:t xml:space="preserve"> </w:t>
      </w:r>
    </w:p>
    <w:p w14:paraId="5048E01F" w14:textId="77777777" w:rsidR="004F78CB" w:rsidRDefault="004F78CB" w:rsidP="004F78CB">
      <w:pPr>
        <w:spacing w:after="0" w:line="240" w:lineRule="auto"/>
        <w:ind w:left="-284"/>
        <w:rPr>
          <w:rFonts w:cstheme="minorHAnsi"/>
          <w:b/>
          <w:lang w:eastAsia="en-GB"/>
        </w:rPr>
      </w:pPr>
    </w:p>
    <w:p w14:paraId="0D7DEB7B" w14:textId="77777777" w:rsidR="004F78CB" w:rsidRDefault="004F78CB" w:rsidP="004F78CB">
      <w:pPr>
        <w:spacing w:after="0" w:line="240" w:lineRule="auto"/>
        <w:ind w:left="-284"/>
        <w:rPr>
          <w:rFonts w:cstheme="minorHAnsi"/>
          <w:lang w:eastAsia="en-GB"/>
        </w:rPr>
      </w:pPr>
      <w:r>
        <w:rPr>
          <w:rFonts w:cstheme="minorHAnsi"/>
          <w:b/>
          <w:lang w:eastAsia="en-GB"/>
        </w:rPr>
        <w:t>T</w:t>
      </w:r>
      <w:r w:rsidR="002F2350" w:rsidRPr="00231107">
        <w:rPr>
          <w:rFonts w:cstheme="minorHAnsi"/>
          <w:b/>
          <w:bCs/>
          <w:iCs/>
        </w:rPr>
        <w:t xml:space="preserve">he wellbeing fund is only available for the rest of this financial year. </w:t>
      </w:r>
      <w:r w:rsidR="002F2350" w:rsidRPr="004F78CB">
        <w:rPr>
          <w:rFonts w:cstheme="minorHAnsi"/>
          <w:iCs/>
        </w:rPr>
        <w:t>Items must be ordered, received, and receipted by 31</w:t>
      </w:r>
      <w:r w:rsidR="002F2350" w:rsidRPr="004F78CB">
        <w:rPr>
          <w:rFonts w:cstheme="minorHAnsi"/>
          <w:iCs/>
          <w:vertAlign w:val="superscript"/>
        </w:rPr>
        <w:t xml:space="preserve"> </w:t>
      </w:r>
      <w:r w:rsidR="002F2350" w:rsidRPr="004F78CB">
        <w:rPr>
          <w:rFonts w:cstheme="minorHAnsi"/>
          <w:iCs/>
        </w:rPr>
        <w:t>March 2022, otherwise they will be funded from your baseline 2022-23 budget.</w:t>
      </w:r>
      <w:r w:rsidR="002F2350" w:rsidRPr="00231107">
        <w:rPr>
          <w:rFonts w:cstheme="minorHAnsi"/>
          <w:b/>
          <w:bCs/>
          <w:i/>
          <w:iCs/>
        </w:rPr>
        <w:t xml:space="preserve"> </w:t>
      </w:r>
    </w:p>
    <w:p w14:paraId="264A3CE8" w14:textId="77777777" w:rsidR="004F78CB" w:rsidRPr="004F78CB" w:rsidRDefault="004F78CB" w:rsidP="004F78CB">
      <w:pPr>
        <w:spacing w:after="0" w:line="240" w:lineRule="auto"/>
        <w:ind w:left="-284"/>
        <w:rPr>
          <w:rFonts w:cstheme="minorHAnsi"/>
          <w:b/>
        </w:rPr>
      </w:pPr>
    </w:p>
    <w:p w14:paraId="550C2C41" w14:textId="0B0051AE" w:rsidR="004F78CB" w:rsidRPr="004F78CB" w:rsidRDefault="002F2350" w:rsidP="004F78CB">
      <w:pPr>
        <w:spacing w:after="0" w:line="240" w:lineRule="auto"/>
        <w:ind w:left="-284"/>
        <w:rPr>
          <w:rFonts w:cstheme="minorHAnsi"/>
          <w:sz w:val="24"/>
          <w:szCs w:val="24"/>
          <w:lang w:eastAsia="en-GB"/>
        </w:rPr>
      </w:pPr>
      <w:r w:rsidRPr="004F78CB">
        <w:rPr>
          <w:rFonts w:cstheme="minorHAnsi"/>
          <w:b/>
        </w:rPr>
        <w:t>Private Prisons:</w:t>
      </w:r>
      <w:r w:rsidRPr="004F78CB">
        <w:rPr>
          <w:rFonts w:cstheme="minorHAnsi"/>
        </w:rPr>
        <w:t xml:space="preserve"> please use your Prisoner Amenity Fund where applicable. If that is not available, please raise with your Controller or Senior Contract Manager if you wish to implement this fund.</w:t>
      </w:r>
    </w:p>
    <w:p w14:paraId="658DC661" w14:textId="77777777" w:rsidR="004F78CB" w:rsidRPr="004F78CB" w:rsidRDefault="004F78CB" w:rsidP="004F78CB">
      <w:pPr>
        <w:spacing w:after="0" w:line="240" w:lineRule="auto"/>
        <w:ind w:left="-284"/>
        <w:rPr>
          <w:rFonts w:cstheme="minorHAnsi"/>
          <w:b/>
        </w:rPr>
      </w:pPr>
    </w:p>
    <w:p w14:paraId="51410234" w14:textId="4AE1F884" w:rsidR="002F2350" w:rsidRDefault="002F2350" w:rsidP="004F78CB">
      <w:pPr>
        <w:spacing w:after="0" w:line="240" w:lineRule="auto"/>
        <w:ind w:left="-284"/>
        <w:rPr>
          <w:rFonts w:cstheme="minorHAnsi"/>
        </w:rPr>
      </w:pPr>
      <w:r w:rsidRPr="004F78CB">
        <w:rPr>
          <w:rFonts w:cstheme="minorHAnsi"/>
          <w:b/>
        </w:rPr>
        <w:t xml:space="preserve">STCs: </w:t>
      </w:r>
      <w:r w:rsidRPr="004F78CB">
        <w:rPr>
          <w:rFonts w:cstheme="minorHAnsi"/>
        </w:rPr>
        <w:t xml:space="preserve">please speak to your Senior Contract Manager if you wish to implement this fund. </w:t>
      </w:r>
    </w:p>
    <w:p w14:paraId="5A07BA51" w14:textId="77777777" w:rsidR="004F78CB" w:rsidRPr="004F78CB" w:rsidRDefault="004F78CB" w:rsidP="004F78CB">
      <w:pPr>
        <w:spacing w:after="0" w:line="240" w:lineRule="auto"/>
        <w:ind w:left="-284"/>
        <w:rPr>
          <w:rFonts w:cstheme="minorHAnsi"/>
          <w:sz w:val="24"/>
          <w:szCs w:val="24"/>
          <w:lang w:eastAsia="en-GB"/>
        </w:rPr>
      </w:pPr>
    </w:p>
    <w:p w14:paraId="0AD21FEF" w14:textId="77777777" w:rsidR="004F78CB" w:rsidRPr="004F78CB" w:rsidRDefault="004F78CB" w:rsidP="004F78CB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294"/>
        <w:gridCol w:w="3794"/>
        <w:gridCol w:w="2694"/>
      </w:tblGrid>
      <w:tr w:rsidR="002F2350" w:rsidRPr="00231107" w14:paraId="072EAAFB" w14:textId="77777777" w:rsidTr="004F78CB">
        <w:tc>
          <w:tcPr>
            <w:tcW w:w="3294" w:type="dxa"/>
          </w:tcPr>
          <w:p w14:paraId="45FE560A" w14:textId="77777777" w:rsidR="002F2350" w:rsidRPr="00231107" w:rsidRDefault="002F2350" w:rsidP="009B3A86">
            <w:pPr>
              <w:rPr>
                <w:rFonts w:ascii="Calibri" w:hAnsi="Calibri"/>
                <w:b/>
              </w:rPr>
            </w:pPr>
            <w:r w:rsidRPr="00231107">
              <w:rPr>
                <w:rFonts w:ascii="Calibri" w:hAnsi="Calibri"/>
                <w:b/>
              </w:rPr>
              <w:t xml:space="preserve">Establishment name: </w:t>
            </w:r>
          </w:p>
          <w:p w14:paraId="49378C9B" w14:textId="77777777" w:rsidR="002F2350" w:rsidRPr="00231107" w:rsidRDefault="002F2350" w:rsidP="009B3A86">
            <w:pPr>
              <w:rPr>
                <w:rFonts w:ascii="Calibri" w:hAnsi="Calibri"/>
                <w:b/>
              </w:rPr>
            </w:pPr>
          </w:p>
        </w:tc>
        <w:tc>
          <w:tcPr>
            <w:tcW w:w="3794" w:type="dxa"/>
          </w:tcPr>
          <w:p w14:paraId="731A0161" w14:textId="77777777" w:rsidR="002F2350" w:rsidRPr="00231107" w:rsidRDefault="002F2350" w:rsidP="009B3A86">
            <w:pPr>
              <w:rPr>
                <w:rFonts w:ascii="Calibri" w:hAnsi="Calibri"/>
                <w:b/>
              </w:rPr>
            </w:pPr>
            <w:r w:rsidRPr="00231107">
              <w:rPr>
                <w:rFonts w:ascii="Calibri" w:hAnsi="Calibri"/>
                <w:b/>
              </w:rPr>
              <w:t xml:space="preserve">Name of person completing form: </w:t>
            </w:r>
          </w:p>
          <w:p w14:paraId="47B3D5BB" w14:textId="77777777" w:rsidR="002F2350" w:rsidRPr="00231107" w:rsidRDefault="002F2350" w:rsidP="009B3A86">
            <w:pPr>
              <w:rPr>
                <w:rFonts w:ascii="Calibri" w:hAnsi="Calibri"/>
                <w:b/>
              </w:rPr>
            </w:pPr>
          </w:p>
        </w:tc>
        <w:tc>
          <w:tcPr>
            <w:tcW w:w="2694" w:type="dxa"/>
          </w:tcPr>
          <w:p w14:paraId="591B4B90" w14:textId="77777777" w:rsidR="002F2350" w:rsidRPr="00231107" w:rsidRDefault="002F2350" w:rsidP="004F78CB">
            <w:pPr>
              <w:ind w:right="-729"/>
              <w:rPr>
                <w:rFonts w:ascii="Calibri" w:hAnsi="Calibri"/>
                <w:b/>
              </w:rPr>
            </w:pPr>
            <w:r w:rsidRPr="00231107">
              <w:rPr>
                <w:rFonts w:ascii="Calibri" w:hAnsi="Calibri"/>
                <w:b/>
              </w:rPr>
              <w:t xml:space="preserve">Role/email address: </w:t>
            </w:r>
          </w:p>
        </w:tc>
      </w:tr>
      <w:tr w:rsidR="002F2350" w:rsidRPr="00231107" w14:paraId="2EA751D3" w14:textId="77777777" w:rsidTr="004F78CB">
        <w:tc>
          <w:tcPr>
            <w:tcW w:w="3294" w:type="dxa"/>
          </w:tcPr>
          <w:p w14:paraId="24622698" w14:textId="77777777" w:rsidR="002F2350" w:rsidRPr="00DE7371" w:rsidRDefault="002F2350" w:rsidP="009B3A86">
            <w:pPr>
              <w:rPr>
                <w:rFonts w:ascii="Calibri" w:hAnsi="Calibri"/>
                <w:b/>
              </w:rPr>
            </w:pPr>
            <w:r w:rsidRPr="00DE7371">
              <w:rPr>
                <w:rFonts w:ascii="Calibri" w:hAnsi="Calibri"/>
                <w:b/>
              </w:rPr>
              <w:t xml:space="preserve">Current Population: </w:t>
            </w:r>
          </w:p>
          <w:p w14:paraId="646F4CAA" w14:textId="77777777" w:rsidR="002F2350" w:rsidRPr="00DE7371" w:rsidRDefault="002F2350" w:rsidP="009B3A86">
            <w:pPr>
              <w:rPr>
                <w:rFonts w:ascii="Calibri" w:hAnsi="Calibri"/>
                <w:b/>
                <w:highlight w:val="yellow"/>
              </w:rPr>
            </w:pPr>
          </w:p>
          <w:p w14:paraId="1CDCFF7C" w14:textId="77777777" w:rsidR="002F2350" w:rsidRPr="00DE7371" w:rsidRDefault="002F2350" w:rsidP="009B3A86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6488" w:type="dxa"/>
            <w:gridSpan w:val="2"/>
          </w:tcPr>
          <w:p w14:paraId="6541F6D6" w14:textId="77777777" w:rsidR="002F2350" w:rsidRPr="00DE7371" w:rsidRDefault="002F2350" w:rsidP="009B3A86">
            <w:pPr>
              <w:rPr>
                <w:rFonts w:ascii="Calibri" w:hAnsi="Calibri"/>
                <w:b/>
              </w:rPr>
            </w:pPr>
            <w:r w:rsidRPr="00DE7371">
              <w:rPr>
                <w:rFonts w:ascii="Calibri" w:hAnsi="Calibri"/>
                <w:b/>
              </w:rPr>
              <w:t xml:space="preserve">Corresponding Value of Fund: </w:t>
            </w:r>
          </w:p>
        </w:tc>
      </w:tr>
      <w:tr w:rsidR="002F2350" w:rsidRPr="00231107" w14:paraId="53BEDEEE" w14:textId="77777777" w:rsidTr="004F78CB">
        <w:tc>
          <w:tcPr>
            <w:tcW w:w="3294" w:type="dxa"/>
          </w:tcPr>
          <w:p w14:paraId="63FADC93" w14:textId="77777777" w:rsidR="002F2350" w:rsidRPr="00231107" w:rsidRDefault="002F2350" w:rsidP="009B3A86">
            <w:pPr>
              <w:rPr>
                <w:rFonts w:ascii="Calibri" w:hAnsi="Calibri"/>
                <w:b/>
              </w:rPr>
            </w:pPr>
            <w:r w:rsidRPr="00231107">
              <w:rPr>
                <w:rFonts w:ascii="Calibri" w:hAnsi="Calibri"/>
                <w:b/>
              </w:rPr>
              <w:t>Options for Consideration (not exhaustive)</w:t>
            </w:r>
          </w:p>
        </w:tc>
        <w:tc>
          <w:tcPr>
            <w:tcW w:w="3794" w:type="dxa"/>
          </w:tcPr>
          <w:p w14:paraId="29ECD3D6" w14:textId="77777777" w:rsidR="002F2350" w:rsidRPr="00231107" w:rsidRDefault="002F2350" w:rsidP="009B3A86">
            <w:pPr>
              <w:rPr>
                <w:rFonts w:ascii="Calibri" w:hAnsi="Calibri"/>
                <w:b/>
              </w:rPr>
            </w:pPr>
            <w:r w:rsidRPr="00231107">
              <w:rPr>
                <w:rFonts w:ascii="Calibri" w:hAnsi="Calibri"/>
                <w:b/>
              </w:rPr>
              <w:t>Indicate details of purchases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2694" w:type="dxa"/>
          </w:tcPr>
          <w:p w14:paraId="7D8789D0" w14:textId="77777777" w:rsidR="002F2350" w:rsidRPr="00231107" w:rsidRDefault="002F2350" w:rsidP="009B3A86">
            <w:pPr>
              <w:rPr>
                <w:rFonts w:ascii="Calibri" w:hAnsi="Calibri"/>
                <w:b/>
              </w:rPr>
            </w:pPr>
            <w:r w:rsidRPr="00231107">
              <w:rPr>
                <w:rFonts w:ascii="Calibri" w:hAnsi="Calibri"/>
                <w:b/>
              </w:rPr>
              <w:t>Cost of purchases</w:t>
            </w:r>
            <w:r>
              <w:rPr>
                <w:rFonts w:ascii="Calibri" w:hAnsi="Calibri"/>
                <w:b/>
              </w:rPr>
              <w:t>:</w:t>
            </w:r>
          </w:p>
        </w:tc>
      </w:tr>
      <w:tr w:rsidR="002F2350" w:rsidRPr="00231107" w14:paraId="0659D12D" w14:textId="77777777" w:rsidTr="004F78CB">
        <w:tc>
          <w:tcPr>
            <w:tcW w:w="3294" w:type="dxa"/>
          </w:tcPr>
          <w:p w14:paraId="5C7B3FBA" w14:textId="77777777" w:rsidR="002F2350" w:rsidRPr="00231107" w:rsidRDefault="002F2350" w:rsidP="009B3A86">
            <w:pPr>
              <w:rPr>
                <w:rFonts w:ascii="Calibri" w:hAnsi="Calibri"/>
              </w:rPr>
            </w:pPr>
            <w:r w:rsidRPr="00231107">
              <w:rPr>
                <w:rFonts w:ascii="Calibri" w:hAnsi="Calibri"/>
              </w:rPr>
              <w:t>Purchase of materials to support wellbeing such as sleep masks, water bottles, blankets etc.</w:t>
            </w:r>
          </w:p>
        </w:tc>
        <w:tc>
          <w:tcPr>
            <w:tcW w:w="3794" w:type="dxa"/>
          </w:tcPr>
          <w:p w14:paraId="7F48B8A7" w14:textId="77777777" w:rsidR="002F2350" w:rsidRPr="00231107" w:rsidRDefault="002F2350" w:rsidP="009B3A86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23E0E910" w14:textId="77777777" w:rsidR="002F2350" w:rsidRPr="00231107" w:rsidRDefault="002F2350" w:rsidP="009B3A86">
            <w:pPr>
              <w:rPr>
                <w:rFonts w:ascii="Calibri" w:hAnsi="Calibri"/>
              </w:rPr>
            </w:pPr>
          </w:p>
        </w:tc>
      </w:tr>
      <w:tr w:rsidR="002F2350" w:rsidRPr="00231107" w14:paraId="4FBC7019" w14:textId="77777777" w:rsidTr="004F78CB">
        <w:tc>
          <w:tcPr>
            <w:tcW w:w="3294" w:type="dxa"/>
          </w:tcPr>
          <w:p w14:paraId="3EBA4DF7" w14:textId="77777777" w:rsidR="002F2350" w:rsidRPr="00231107" w:rsidRDefault="002F2350" w:rsidP="009B3A86">
            <w:pPr>
              <w:rPr>
                <w:rFonts w:ascii="Calibri" w:hAnsi="Calibri"/>
              </w:rPr>
            </w:pPr>
            <w:r w:rsidRPr="00231107">
              <w:rPr>
                <w:rFonts w:ascii="Calibri" w:hAnsi="Calibri"/>
              </w:rPr>
              <w:t>Increase access to outdoor activities/ PE.</w:t>
            </w:r>
          </w:p>
        </w:tc>
        <w:tc>
          <w:tcPr>
            <w:tcW w:w="3794" w:type="dxa"/>
          </w:tcPr>
          <w:p w14:paraId="0C4DD36D" w14:textId="77777777" w:rsidR="002F2350" w:rsidRPr="00231107" w:rsidRDefault="002F2350" w:rsidP="009B3A86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20B4B625" w14:textId="77777777" w:rsidR="002F2350" w:rsidRPr="00231107" w:rsidRDefault="002F2350" w:rsidP="009B3A86">
            <w:pPr>
              <w:rPr>
                <w:rFonts w:ascii="Calibri" w:hAnsi="Calibri"/>
              </w:rPr>
            </w:pPr>
          </w:p>
        </w:tc>
      </w:tr>
      <w:tr w:rsidR="002F2350" w:rsidRPr="00231107" w14:paraId="3E361604" w14:textId="77777777" w:rsidTr="004F78CB">
        <w:tc>
          <w:tcPr>
            <w:tcW w:w="3294" w:type="dxa"/>
          </w:tcPr>
          <w:p w14:paraId="0B2553F0" w14:textId="77777777" w:rsidR="002F2350" w:rsidRPr="00231107" w:rsidRDefault="002F2350" w:rsidP="009B3A86">
            <w:pPr>
              <w:rPr>
                <w:rFonts w:ascii="Calibri" w:hAnsi="Calibri"/>
              </w:rPr>
            </w:pPr>
            <w:r w:rsidRPr="00231107">
              <w:rPr>
                <w:rFonts w:ascii="Calibri" w:hAnsi="Calibri"/>
              </w:rPr>
              <w:t>Increase activities for those most vulnerable and/or at heightened risk e.g., prisoners with learning disabilities or older prisoners, prisoners from BAME backgrounds, foreign nationals</w:t>
            </w:r>
          </w:p>
        </w:tc>
        <w:tc>
          <w:tcPr>
            <w:tcW w:w="3794" w:type="dxa"/>
          </w:tcPr>
          <w:p w14:paraId="3211E466" w14:textId="77777777" w:rsidR="002F2350" w:rsidRPr="00231107" w:rsidRDefault="002F2350" w:rsidP="009B3A86">
            <w:pPr>
              <w:rPr>
                <w:rFonts w:ascii="Calibri" w:hAnsi="Calibri"/>
                <w:b/>
              </w:rPr>
            </w:pPr>
          </w:p>
        </w:tc>
        <w:tc>
          <w:tcPr>
            <w:tcW w:w="2694" w:type="dxa"/>
          </w:tcPr>
          <w:p w14:paraId="7373D818" w14:textId="77777777" w:rsidR="002F2350" w:rsidRPr="00231107" w:rsidRDefault="002F2350" w:rsidP="009B3A86">
            <w:pPr>
              <w:rPr>
                <w:rFonts w:ascii="Calibri" w:hAnsi="Calibri"/>
              </w:rPr>
            </w:pPr>
          </w:p>
        </w:tc>
      </w:tr>
      <w:tr w:rsidR="002F2350" w:rsidRPr="00231107" w14:paraId="24CC98AB" w14:textId="77777777" w:rsidTr="004F78CB">
        <w:tc>
          <w:tcPr>
            <w:tcW w:w="3294" w:type="dxa"/>
          </w:tcPr>
          <w:p w14:paraId="3BF776B0" w14:textId="77777777" w:rsidR="002F2350" w:rsidRPr="00231107" w:rsidRDefault="002F2350" w:rsidP="009B3A86">
            <w:pPr>
              <w:rPr>
                <w:rFonts w:ascii="Calibri" w:hAnsi="Calibri"/>
              </w:rPr>
            </w:pPr>
            <w:r w:rsidRPr="00231107">
              <w:rPr>
                <w:rFonts w:ascii="Calibri" w:hAnsi="Calibri"/>
              </w:rPr>
              <w:t>Targeting resources towards those environments or cohorts where you are seeing highest levels of self-harm.</w:t>
            </w:r>
          </w:p>
        </w:tc>
        <w:tc>
          <w:tcPr>
            <w:tcW w:w="3794" w:type="dxa"/>
          </w:tcPr>
          <w:p w14:paraId="1F91129C" w14:textId="77777777" w:rsidR="002F2350" w:rsidRPr="00231107" w:rsidRDefault="002F2350" w:rsidP="009B3A86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1B83A7E4" w14:textId="77777777" w:rsidR="002F2350" w:rsidRPr="00231107" w:rsidRDefault="002F2350" w:rsidP="009B3A86">
            <w:pPr>
              <w:rPr>
                <w:rFonts w:ascii="Calibri" w:hAnsi="Calibri"/>
              </w:rPr>
            </w:pPr>
          </w:p>
        </w:tc>
      </w:tr>
      <w:tr w:rsidR="002F2350" w:rsidRPr="00231107" w14:paraId="661B4005" w14:textId="77777777" w:rsidTr="004F78CB">
        <w:tc>
          <w:tcPr>
            <w:tcW w:w="3294" w:type="dxa"/>
          </w:tcPr>
          <w:p w14:paraId="58098C7F" w14:textId="77777777" w:rsidR="002F2350" w:rsidRPr="00231107" w:rsidRDefault="002F2350" w:rsidP="009B3A86">
            <w:pPr>
              <w:tabs>
                <w:tab w:val="left" w:pos="38"/>
              </w:tabs>
              <w:ind w:firstLine="38"/>
              <w:rPr>
                <w:rFonts w:ascii="Calibri" w:hAnsi="Calibri"/>
              </w:rPr>
            </w:pPr>
            <w:r w:rsidRPr="00231107">
              <w:rPr>
                <w:rFonts w:ascii="Calibri" w:hAnsi="Calibri"/>
              </w:rPr>
              <w:t>Increasing activities available in rooms – weekly craft packs or development of hobbies which can be taken forward in room.</w:t>
            </w:r>
          </w:p>
        </w:tc>
        <w:tc>
          <w:tcPr>
            <w:tcW w:w="3794" w:type="dxa"/>
          </w:tcPr>
          <w:p w14:paraId="015FBCB5" w14:textId="77777777" w:rsidR="002F2350" w:rsidRPr="00231107" w:rsidRDefault="002F2350" w:rsidP="009B3A86">
            <w:pPr>
              <w:rPr>
                <w:rFonts w:ascii="Calibri" w:hAnsi="Calibri"/>
                <w:b/>
              </w:rPr>
            </w:pPr>
            <w:r w:rsidRPr="0023110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694" w:type="dxa"/>
          </w:tcPr>
          <w:p w14:paraId="50D713B1" w14:textId="77777777" w:rsidR="002F2350" w:rsidRPr="00231107" w:rsidRDefault="002F2350" w:rsidP="009B3A86">
            <w:pPr>
              <w:rPr>
                <w:rFonts w:ascii="Calibri" w:hAnsi="Calibri"/>
              </w:rPr>
            </w:pPr>
          </w:p>
        </w:tc>
      </w:tr>
      <w:tr w:rsidR="002F2350" w:rsidRPr="00231107" w14:paraId="4FA4E20F" w14:textId="77777777" w:rsidTr="004F78CB">
        <w:tc>
          <w:tcPr>
            <w:tcW w:w="3294" w:type="dxa"/>
          </w:tcPr>
          <w:p w14:paraId="3E73F980" w14:textId="77777777" w:rsidR="002F2350" w:rsidRPr="00231107" w:rsidRDefault="002F2350" w:rsidP="009B3A86">
            <w:pPr>
              <w:ind w:firstLine="38"/>
            </w:pPr>
            <w:r w:rsidRPr="00231107">
              <w:t xml:space="preserve">Increase synchronised activities e.g., quizzes, gym activities etc. </w:t>
            </w:r>
          </w:p>
        </w:tc>
        <w:tc>
          <w:tcPr>
            <w:tcW w:w="3794" w:type="dxa"/>
          </w:tcPr>
          <w:p w14:paraId="02377CBE" w14:textId="77777777" w:rsidR="002F2350" w:rsidRPr="00231107" w:rsidRDefault="002F2350" w:rsidP="009B3A86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14:paraId="25B94550" w14:textId="77777777" w:rsidR="002F2350" w:rsidRPr="00231107" w:rsidRDefault="002F2350" w:rsidP="009B3A86">
            <w:pPr>
              <w:rPr>
                <w:rFonts w:ascii="Calibri" w:hAnsi="Calibri"/>
              </w:rPr>
            </w:pPr>
          </w:p>
        </w:tc>
      </w:tr>
    </w:tbl>
    <w:p w14:paraId="191DED6A" w14:textId="77777777" w:rsidR="004F78CB" w:rsidRDefault="004F78CB" w:rsidP="004F78CB">
      <w:pPr>
        <w:spacing w:after="0" w:line="240" w:lineRule="auto"/>
        <w:rPr>
          <w:lang w:eastAsia="en-GB"/>
        </w:rPr>
      </w:pPr>
    </w:p>
    <w:p w14:paraId="3328589A" w14:textId="34FB07EA" w:rsidR="00C065EE" w:rsidRDefault="002F2350" w:rsidP="004F78CB">
      <w:pPr>
        <w:spacing w:after="0" w:line="240" w:lineRule="auto"/>
        <w:rPr>
          <w:lang w:eastAsia="en-GB"/>
        </w:rPr>
      </w:pPr>
      <w:r w:rsidRPr="00263DB2">
        <w:rPr>
          <w:lang w:eastAsia="en-GB"/>
        </w:rPr>
        <w:t>Please detail any good practice/ additional interventions you have already put in place in simple bullet points below:</w:t>
      </w:r>
    </w:p>
    <w:p w14:paraId="02BDB136" w14:textId="0F17C8AF" w:rsidR="002F2350" w:rsidRDefault="002F2350" w:rsidP="004F78CB">
      <w:pPr>
        <w:pStyle w:val="ListParagraph"/>
        <w:numPr>
          <w:ilvl w:val="0"/>
          <w:numId w:val="2"/>
        </w:numPr>
        <w:spacing w:after="0" w:line="240" w:lineRule="auto"/>
        <w:rPr>
          <w:lang w:eastAsia="en-GB"/>
        </w:rPr>
      </w:pPr>
    </w:p>
    <w:sectPr w:rsidR="002F2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3CB2"/>
    <w:multiLevelType w:val="hybridMultilevel"/>
    <w:tmpl w:val="5D9A501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4D97C1D"/>
    <w:multiLevelType w:val="hybridMultilevel"/>
    <w:tmpl w:val="95C0900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FF44E8D"/>
    <w:multiLevelType w:val="hybridMultilevel"/>
    <w:tmpl w:val="78F6EE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50"/>
    <w:rsid w:val="00057957"/>
    <w:rsid w:val="002F2350"/>
    <w:rsid w:val="00485A30"/>
    <w:rsid w:val="004F78CB"/>
    <w:rsid w:val="007C1903"/>
    <w:rsid w:val="00A934F9"/>
    <w:rsid w:val="00C065EE"/>
    <w:rsid w:val="00DE7371"/>
    <w:rsid w:val="00E2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A235"/>
  <w15:chartTrackingRefBased/>
  <w15:docId w15:val="{5AA8A936-19EE-4466-8BA1-03E477E4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1,List Paragraph Char Char Char,Indicator Text,Bullet 1,Numbered Para 1,Bullet Points,MAIN CONTENT,List Paragraph12,Bullet Style,F5 List Paragraph,OBC Bullet,List Paragraph11,Colorful List - Accent 11,L,L1"/>
    <w:basedOn w:val="Normal"/>
    <w:link w:val="ListParagraphChar"/>
    <w:uiPriority w:val="34"/>
    <w:qFormat/>
    <w:rsid w:val="002F2350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customStyle="1" w:styleId="ListParagraphChar">
    <w:name w:val="List Paragraph Char"/>
    <w:aliases w:val="Dot pt Char,No Spacing1 Char,List Paragraph1 Char,List Paragraph Char Char Char Char,Indicator Text Char,Bullet 1 Char,Numbered Para 1 Char,Bullet Points Char,MAIN CONTENT Char,List Paragraph12 Char,Bullet Style Char,OBC Bullet Char"/>
    <w:basedOn w:val="DefaultParagraphFont"/>
    <w:link w:val="ListParagraph"/>
    <w:uiPriority w:val="34"/>
    <w:locked/>
    <w:rsid w:val="002F2350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2F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7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ferCustodyPolicyandLearning@justic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lFBP@justice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4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Galloway, Karen [NOMS]</dc:creator>
  <cp:keywords/>
  <dc:description/>
  <cp:lastModifiedBy>Karen Galloway</cp:lastModifiedBy>
  <cp:revision>2</cp:revision>
  <dcterms:created xsi:type="dcterms:W3CDTF">2021-12-17T11:32:00Z</dcterms:created>
  <dcterms:modified xsi:type="dcterms:W3CDTF">2021-12-17T11:32:00Z</dcterms:modified>
</cp:coreProperties>
</file>