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BE15" w14:textId="5E988C93" w:rsidR="00BD3428" w:rsidRDefault="00D55B82">
      <w:pPr>
        <w:rPr>
          <w:b/>
          <w:bCs/>
        </w:rPr>
      </w:pPr>
      <w:r w:rsidRPr="00BD3428">
        <w:rPr>
          <w:b/>
          <w:bCs/>
          <w:u w:val="single"/>
        </w:rPr>
        <w:t xml:space="preserve">Gold Brief – </w:t>
      </w:r>
      <w:r w:rsidR="0002602D" w:rsidRPr="00BD3428">
        <w:rPr>
          <w:b/>
          <w:bCs/>
          <w:u w:val="single"/>
        </w:rPr>
        <w:t xml:space="preserve">Return to </w:t>
      </w:r>
      <w:r w:rsidRPr="00BD3428">
        <w:rPr>
          <w:b/>
          <w:bCs/>
          <w:u w:val="single"/>
        </w:rPr>
        <w:t>Stage 2 and Social Distancing</w:t>
      </w:r>
      <w:r w:rsidR="00C22253" w:rsidRPr="00BD3428">
        <w:rPr>
          <w:b/>
          <w:bCs/>
          <w:u w:val="single"/>
        </w:rPr>
        <w:t xml:space="preserve"> due to Omicron Risk</w:t>
      </w:r>
    </w:p>
    <w:p w14:paraId="58F32B8E" w14:textId="0237AC6D" w:rsidR="002B4825" w:rsidRPr="006C1551" w:rsidRDefault="0002602D">
      <w:pPr>
        <w:rPr>
          <w:b/>
          <w:bCs/>
        </w:rPr>
      </w:pPr>
      <w:r>
        <w:rPr>
          <w:b/>
          <w:bCs/>
        </w:rPr>
        <w:t>1</w:t>
      </w:r>
      <w:r w:rsidR="00890F01">
        <w:rPr>
          <w:b/>
          <w:bCs/>
        </w:rPr>
        <w:t>4</w:t>
      </w:r>
      <w:r>
        <w:rPr>
          <w:b/>
          <w:bCs/>
        </w:rPr>
        <w:t xml:space="preserve"> December 2021</w:t>
      </w:r>
    </w:p>
    <w:p w14:paraId="682FEEB1" w14:textId="06B2A4F9" w:rsidR="006C1551" w:rsidRPr="006C1551" w:rsidRDefault="006C1551" w:rsidP="00113162">
      <w:pPr>
        <w:spacing w:before="120" w:after="120" w:line="240" w:lineRule="auto"/>
        <w:ind w:left="57" w:right="113"/>
        <w:rPr>
          <w:b/>
          <w:bCs/>
        </w:rPr>
      </w:pPr>
      <w:r w:rsidRPr="006C1551">
        <w:rPr>
          <w:b/>
          <w:bCs/>
        </w:rPr>
        <w:t>Purpose</w:t>
      </w:r>
    </w:p>
    <w:p w14:paraId="5DF4D150" w14:textId="2694CE57" w:rsidR="00354B6D" w:rsidRDefault="00354B6D" w:rsidP="00354B6D">
      <w:pPr>
        <w:spacing w:after="0" w:line="240" w:lineRule="auto"/>
        <w:ind w:left="57" w:right="113"/>
        <w:jc w:val="both"/>
      </w:pPr>
      <w:r>
        <w:t xml:space="preserve">In the </w:t>
      </w:r>
      <w:hyperlink r:id="rId8" w:history="1">
        <w:r w:rsidRPr="0055401E">
          <w:rPr>
            <w:rStyle w:val="Hyperlink"/>
          </w:rPr>
          <w:t>Gold Briefing</w:t>
        </w:r>
      </w:hyperlink>
      <w:r>
        <w:t xml:space="preserve"> issued on 9 December we set out the immediate implications for the custodial estate of the Government’s decision to implement Plan B in response to the emergence of the Omicron variant. The 9 December briefing outlined a holding position and committed to provide further operational guidance following a review by </w:t>
      </w:r>
      <w:r w:rsidR="003A30E4">
        <w:t>the HMPPS Leadership Team (</w:t>
      </w:r>
      <w:r>
        <w:t>HLT</w:t>
      </w:r>
      <w:r w:rsidR="003A30E4">
        <w:t>)</w:t>
      </w:r>
      <w:r>
        <w:t xml:space="preserve"> informed by </w:t>
      </w:r>
      <w:r w:rsidR="003A30E4">
        <w:t>UK Health Security Agency (</w:t>
      </w:r>
      <w:r>
        <w:t>UKHSA</w:t>
      </w:r>
      <w:r w:rsidR="003A30E4">
        <w:t>)</w:t>
      </w:r>
      <w:r>
        <w:t xml:space="preserve"> advice. </w:t>
      </w:r>
      <w:r w:rsidR="00585A93">
        <w:t xml:space="preserve">On 12 December the UK was moved COVID alert level 4.  </w:t>
      </w:r>
      <w:r>
        <w:t xml:space="preserve">This document outlines additional controls and regime restrictions </w:t>
      </w:r>
      <w:r w:rsidR="00AB6BE9">
        <w:t>now agreed</w:t>
      </w:r>
      <w:r>
        <w:t xml:space="preserve"> to counter the risk of the Omicron variant of COVID-19.</w:t>
      </w:r>
    </w:p>
    <w:p w14:paraId="32A3846D" w14:textId="77777777" w:rsidR="00AB6BE9" w:rsidRDefault="00AB6BE9" w:rsidP="00354B6D">
      <w:pPr>
        <w:spacing w:after="0" w:line="240" w:lineRule="auto"/>
        <w:ind w:left="57" w:right="113"/>
        <w:jc w:val="both"/>
      </w:pPr>
    </w:p>
    <w:p w14:paraId="7014E572" w14:textId="7D52AB80" w:rsidR="00AB6BE9" w:rsidRPr="00254E2C" w:rsidRDefault="00AB6BE9" w:rsidP="00AB6BE9">
      <w:pPr>
        <w:spacing w:after="0" w:line="240" w:lineRule="auto"/>
        <w:ind w:left="57" w:right="113"/>
        <w:jc w:val="both"/>
      </w:pPr>
      <w:r>
        <w:t>UKHSA now recommend</w:t>
      </w:r>
      <w:r w:rsidR="002D06F3">
        <w:t>s</w:t>
      </w:r>
      <w:r>
        <w:t xml:space="preserve"> that the prison </w:t>
      </w:r>
      <w:r w:rsidRPr="00254E2C">
        <w:t xml:space="preserve">estate should reimpose additional controls to counter the </w:t>
      </w:r>
      <w:r>
        <w:t xml:space="preserve">immediate and escalating risk. Therefore, all prisons at Stage 1 must reintroduce Stage 2 controls </w:t>
      </w:r>
      <w:r w:rsidR="002D06F3">
        <w:t>reintroducing</w:t>
      </w:r>
      <w:r>
        <w:t xml:space="preserve"> social distancing. Those at Stages 2 or 3 must maintain social distancing and </w:t>
      </w:r>
      <w:r w:rsidR="00BB06EF">
        <w:t>maintain their current controls</w:t>
      </w:r>
      <w:r>
        <w:t xml:space="preserve">. </w:t>
      </w:r>
    </w:p>
    <w:p w14:paraId="078AB85E" w14:textId="77777777" w:rsidR="00E66DD5" w:rsidRDefault="00E66DD5" w:rsidP="00113162">
      <w:pPr>
        <w:spacing w:before="120" w:after="120" w:line="240" w:lineRule="auto"/>
        <w:ind w:left="57" w:right="113"/>
        <w:rPr>
          <w:b/>
          <w:bCs/>
        </w:rPr>
      </w:pPr>
    </w:p>
    <w:p w14:paraId="5E45566C" w14:textId="5228EFF7" w:rsidR="00D55B82" w:rsidRDefault="00937473" w:rsidP="00113162">
      <w:pPr>
        <w:spacing w:before="120" w:after="120" w:line="240" w:lineRule="auto"/>
        <w:ind w:left="57" w:right="113"/>
        <w:rPr>
          <w:b/>
          <w:bCs/>
        </w:rPr>
      </w:pPr>
      <w:r>
        <w:rPr>
          <w:b/>
          <w:bCs/>
        </w:rPr>
        <w:t>Immediate a</w:t>
      </w:r>
      <w:r w:rsidR="006C1551" w:rsidRPr="006C1551">
        <w:rPr>
          <w:b/>
          <w:bCs/>
        </w:rPr>
        <w:t>ctions</w:t>
      </w:r>
    </w:p>
    <w:p w14:paraId="240CF8B7" w14:textId="1EAE52C1" w:rsidR="00937473" w:rsidRDefault="009D55A3" w:rsidP="006413EF">
      <w:pPr>
        <w:pStyle w:val="ListParagraph"/>
        <w:numPr>
          <w:ilvl w:val="0"/>
          <w:numId w:val="5"/>
        </w:numPr>
        <w:spacing w:before="120" w:after="120" w:line="240" w:lineRule="auto"/>
        <w:ind w:right="113"/>
        <w:rPr>
          <w:i/>
          <w:iCs/>
          <w:u w:val="single"/>
        </w:rPr>
      </w:pPr>
      <w:r w:rsidRPr="00433ED1">
        <w:rPr>
          <w:i/>
          <w:iCs/>
          <w:u w:val="single"/>
        </w:rPr>
        <w:t xml:space="preserve">All Stage 1 </w:t>
      </w:r>
      <w:r w:rsidR="00937473" w:rsidRPr="00433ED1">
        <w:rPr>
          <w:i/>
          <w:iCs/>
          <w:u w:val="single"/>
        </w:rPr>
        <w:t>prisons</w:t>
      </w:r>
      <w:r w:rsidRPr="00433ED1">
        <w:rPr>
          <w:i/>
          <w:iCs/>
          <w:u w:val="single"/>
        </w:rPr>
        <w:t xml:space="preserve"> </w:t>
      </w:r>
      <w:r w:rsidRPr="00C22253">
        <w:rPr>
          <w:b/>
          <w:bCs/>
          <w:i/>
          <w:iCs/>
          <w:u w:val="single"/>
        </w:rPr>
        <w:t>must</w:t>
      </w:r>
      <w:r w:rsidRPr="00433ED1">
        <w:rPr>
          <w:i/>
          <w:iCs/>
          <w:u w:val="single"/>
        </w:rPr>
        <w:t xml:space="preserve"> </w:t>
      </w:r>
      <w:r w:rsidR="00937473" w:rsidRPr="00433ED1">
        <w:rPr>
          <w:i/>
          <w:iCs/>
          <w:u w:val="single"/>
        </w:rPr>
        <w:t>reintroduce social distancing and other Stage 2 controls</w:t>
      </w:r>
    </w:p>
    <w:p w14:paraId="20A9743B" w14:textId="05DAB18B" w:rsidR="00433ED1" w:rsidRPr="00BD3428" w:rsidRDefault="00E32C63" w:rsidP="00EA6EAF">
      <w:pPr>
        <w:pStyle w:val="ListParagraph"/>
        <w:spacing w:before="120" w:after="120" w:line="240" w:lineRule="auto"/>
        <w:ind w:left="777" w:right="113"/>
        <w:rPr>
          <w:i/>
          <w:iCs/>
          <w:u w:val="single"/>
        </w:rPr>
      </w:pPr>
      <w:r w:rsidRPr="00BD3428">
        <w:rPr>
          <w:i/>
          <w:iCs/>
          <w:u w:val="single"/>
        </w:rPr>
        <w:t xml:space="preserve">unless there is an agreed </w:t>
      </w:r>
      <w:r w:rsidR="00433ED1" w:rsidRPr="00BD3428">
        <w:rPr>
          <w:i/>
          <w:iCs/>
          <w:u w:val="single"/>
        </w:rPr>
        <w:t>exception</w:t>
      </w:r>
    </w:p>
    <w:p w14:paraId="37B0CEF8" w14:textId="77777777" w:rsidR="00433ED1" w:rsidRPr="00433ED1" w:rsidRDefault="00433ED1" w:rsidP="00433ED1">
      <w:pPr>
        <w:pStyle w:val="ListParagraph"/>
        <w:spacing w:before="120" w:after="120" w:line="240" w:lineRule="auto"/>
        <w:ind w:left="777" w:right="113"/>
        <w:rPr>
          <w:i/>
          <w:iCs/>
          <w:u w:val="single"/>
        </w:rPr>
      </w:pPr>
    </w:p>
    <w:p w14:paraId="4DF95BA0" w14:textId="42B50546" w:rsidR="00937473" w:rsidRDefault="00937473" w:rsidP="00FD7CC9">
      <w:pPr>
        <w:pStyle w:val="ListParagraph"/>
        <w:numPr>
          <w:ilvl w:val="0"/>
          <w:numId w:val="5"/>
        </w:numPr>
        <w:spacing w:before="120" w:after="120" w:line="240" w:lineRule="auto"/>
        <w:ind w:right="113"/>
        <w:rPr>
          <w:i/>
          <w:iCs/>
          <w:u w:val="single"/>
        </w:rPr>
      </w:pPr>
      <w:r>
        <w:rPr>
          <w:i/>
          <w:iCs/>
          <w:u w:val="single"/>
        </w:rPr>
        <w:t xml:space="preserve">Stage 3 and 2 prisons should continue to operate at their current level but ensure that </w:t>
      </w:r>
      <w:r w:rsidR="00254E2C">
        <w:rPr>
          <w:i/>
          <w:iCs/>
          <w:u w:val="single"/>
        </w:rPr>
        <w:t>the controls</w:t>
      </w:r>
      <w:r>
        <w:rPr>
          <w:i/>
          <w:iCs/>
          <w:u w:val="single"/>
        </w:rPr>
        <w:t xml:space="preserve"> required for that stage are</w:t>
      </w:r>
      <w:r w:rsidR="00433ED1">
        <w:rPr>
          <w:i/>
          <w:iCs/>
          <w:u w:val="single"/>
        </w:rPr>
        <w:t xml:space="preserve"> </w:t>
      </w:r>
      <w:r>
        <w:rPr>
          <w:i/>
          <w:iCs/>
          <w:u w:val="single"/>
        </w:rPr>
        <w:t xml:space="preserve">operating effectively.  </w:t>
      </w:r>
    </w:p>
    <w:p w14:paraId="4F4BB3A2" w14:textId="46BF8FF8" w:rsidR="00254E2C" w:rsidRDefault="00254E2C" w:rsidP="00937473">
      <w:pPr>
        <w:spacing w:after="0" w:line="240" w:lineRule="auto"/>
        <w:ind w:left="57" w:right="113"/>
        <w:rPr>
          <w:u w:val="single"/>
        </w:rPr>
      </w:pPr>
    </w:p>
    <w:p w14:paraId="3E02E493" w14:textId="31D9E203" w:rsidR="005E30FB" w:rsidRDefault="00433ED1" w:rsidP="005E30FB">
      <w:pPr>
        <w:spacing w:after="0" w:line="240" w:lineRule="auto"/>
        <w:ind w:right="113"/>
        <w:rPr>
          <w:b/>
          <w:bCs/>
        </w:rPr>
      </w:pPr>
      <w:r w:rsidRPr="00BB06EF">
        <w:rPr>
          <w:b/>
          <w:bCs/>
        </w:rPr>
        <w:t>National Framework C</w:t>
      </w:r>
      <w:r w:rsidR="005E30FB" w:rsidRPr="00BB06EF">
        <w:rPr>
          <w:b/>
          <w:bCs/>
        </w:rPr>
        <w:t>ontrols</w:t>
      </w:r>
    </w:p>
    <w:p w14:paraId="536AA19C" w14:textId="7EB634FB" w:rsidR="005E30FB" w:rsidRDefault="005E30FB" w:rsidP="005E30FB">
      <w:pPr>
        <w:spacing w:after="0" w:line="240" w:lineRule="auto"/>
        <w:ind w:right="113"/>
      </w:pPr>
      <w:r>
        <w:t xml:space="preserve">An overview of each stage </w:t>
      </w:r>
      <w:r w:rsidR="000E7DE6">
        <w:t>within the Prisons National Framework is provided below:</w:t>
      </w:r>
    </w:p>
    <w:p w14:paraId="2F1B7DF1" w14:textId="77777777" w:rsidR="0039581B" w:rsidRPr="005E30FB" w:rsidRDefault="0039581B" w:rsidP="005E30FB">
      <w:pPr>
        <w:spacing w:after="0" w:line="240" w:lineRule="auto"/>
        <w:ind w:right="113"/>
      </w:pPr>
    </w:p>
    <w:tbl>
      <w:tblPr>
        <w:tblStyle w:val="TableGrid"/>
        <w:tblW w:w="0" w:type="auto"/>
        <w:tblLook w:val="04A0" w:firstRow="1" w:lastRow="0" w:firstColumn="1" w:lastColumn="0" w:noHBand="0" w:noVBand="1"/>
      </w:tblPr>
      <w:tblGrid>
        <w:gridCol w:w="846"/>
        <w:gridCol w:w="8170"/>
      </w:tblGrid>
      <w:tr w:rsidR="005E30FB" w14:paraId="501E8E8E" w14:textId="77777777" w:rsidTr="000E7DE6">
        <w:tc>
          <w:tcPr>
            <w:tcW w:w="846" w:type="dxa"/>
          </w:tcPr>
          <w:p w14:paraId="2E5CA0D7" w14:textId="0163B29B" w:rsidR="005E30FB" w:rsidRPr="000E7DE6" w:rsidRDefault="000E7DE6" w:rsidP="005E30FB">
            <w:pPr>
              <w:ind w:right="113"/>
            </w:pPr>
            <w:r>
              <w:t>Stage</w:t>
            </w:r>
          </w:p>
        </w:tc>
        <w:tc>
          <w:tcPr>
            <w:tcW w:w="8170" w:type="dxa"/>
          </w:tcPr>
          <w:p w14:paraId="32931878" w14:textId="43BB2C53" w:rsidR="005E30FB" w:rsidRPr="000E7DE6" w:rsidRDefault="000E7DE6" w:rsidP="005E30FB">
            <w:pPr>
              <w:ind w:right="113"/>
            </w:pPr>
            <w:r>
              <w:t>Description and additional controls/changes now required</w:t>
            </w:r>
          </w:p>
        </w:tc>
      </w:tr>
      <w:tr w:rsidR="00BB06EF" w14:paraId="734ADBED" w14:textId="77777777" w:rsidTr="000E7DE6">
        <w:tc>
          <w:tcPr>
            <w:tcW w:w="846" w:type="dxa"/>
          </w:tcPr>
          <w:p w14:paraId="7A63DC32" w14:textId="03D66966" w:rsidR="00BB06EF" w:rsidRDefault="00BB06EF" w:rsidP="00BB06EF">
            <w:pPr>
              <w:ind w:right="113"/>
            </w:pPr>
            <w:r>
              <w:t>1</w:t>
            </w:r>
          </w:p>
        </w:tc>
        <w:tc>
          <w:tcPr>
            <w:tcW w:w="8170" w:type="dxa"/>
          </w:tcPr>
          <w:p w14:paraId="64037275" w14:textId="06BC225C" w:rsidR="00BB06EF" w:rsidRDefault="009F375B" w:rsidP="00BB06EF">
            <w:pPr>
              <w:ind w:right="113"/>
            </w:pPr>
            <w:r>
              <w:t>N</w:t>
            </w:r>
            <w:r w:rsidR="00BB06EF">
              <w:t>o social distancing</w:t>
            </w:r>
            <w:r w:rsidR="00931A63">
              <w:t xml:space="preserve"> but other SOP controls</w:t>
            </w:r>
            <w:r w:rsidR="00BB06EF">
              <w:t xml:space="preserve">. Movements and regime groups </w:t>
            </w:r>
            <w:r>
              <w:t xml:space="preserve">operated to deliver a full regime </w:t>
            </w:r>
            <w:r w:rsidR="00BB06EF">
              <w:t xml:space="preserve">balancing safety with sufficiency. Aim to expand regime based on available resource determined </w:t>
            </w:r>
            <w:r>
              <w:t xml:space="preserve">by the Regime Management Plan </w:t>
            </w:r>
            <w:r w:rsidR="00DE49AB">
              <w:t>(</w:t>
            </w:r>
            <w:r w:rsidR="00BB06EF">
              <w:t>RMP</w:t>
            </w:r>
            <w:r w:rsidR="00DE49AB">
              <w:t>)</w:t>
            </w:r>
            <w:r w:rsidR="00BB06EF">
              <w:t xml:space="preserve">. </w:t>
            </w:r>
          </w:p>
        </w:tc>
      </w:tr>
      <w:tr w:rsidR="00BB06EF" w14:paraId="3D3A69CF" w14:textId="77777777" w:rsidTr="000E7DE6">
        <w:tc>
          <w:tcPr>
            <w:tcW w:w="846" w:type="dxa"/>
          </w:tcPr>
          <w:p w14:paraId="3F4FCB0E" w14:textId="596A4329" w:rsidR="00BB06EF" w:rsidRPr="000E7DE6" w:rsidRDefault="00BB06EF" w:rsidP="00BB06EF">
            <w:pPr>
              <w:ind w:right="113"/>
            </w:pPr>
            <w:r>
              <w:t>2</w:t>
            </w:r>
          </w:p>
        </w:tc>
        <w:tc>
          <w:tcPr>
            <w:tcW w:w="8170" w:type="dxa"/>
          </w:tcPr>
          <w:p w14:paraId="732DC062" w14:textId="648A0EBF" w:rsidR="00BB06EF" w:rsidRPr="000E7DE6" w:rsidRDefault="00DE49AB" w:rsidP="00BB06EF">
            <w:pPr>
              <w:ind w:right="113"/>
            </w:pPr>
            <w:r w:rsidRPr="00DE49AB">
              <w:t>Social distancing in place</w:t>
            </w:r>
            <w:r w:rsidR="00931A63">
              <w:t xml:space="preserve"> and other SOP controls</w:t>
            </w:r>
            <w:r w:rsidRPr="00DE49AB">
              <w:t>.</w:t>
            </w:r>
            <w:r>
              <w:rPr>
                <w:b/>
                <w:bCs/>
              </w:rPr>
              <w:t xml:space="preserve"> </w:t>
            </w:r>
            <w:r w:rsidRPr="00DE49AB">
              <w:t>R</w:t>
            </w:r>
            <w:r w:rsidR="00BB06EF">
              <w:t>egime in all areas subject to controls and social distancing in operation. Work</w:t>
            </w:r>
            <w:r w:rsidR="003D47D7">
              <w:t>, education</w:t>
            </w:r>
            <w:r w:rsidR="00BB06EF">
              <w:t xml:space="preserve"> and </w:t>
            </w:r>
            <w:r w:rsidR="003D47D7">
              <w:t xml:space="preserve">regime </w:t>
            </w:r>
            <w:r w:rsidR="00BB06EF">
              <w:t xml:space="preserve">activities </w:t>
            </w:r>
            <w:r w:rsidR="00FE0157">
              <w:t>operated</w:t>
            </w:r>
            <w:r w:rsidR="00BB06EF">
              <w:t xml:space="preserve">. Social visits operating with contact controls. </w:t>
            </w:r>
          </w:p>
        </w:tc>
      </w:tr>
      <w:tr w:rsidR="00BB06EF" w14:paraId="5C1FE0B6" w14:textId="77777777" w:rsidTr="000E7DE6">
        <w:tc>
          <w:tcPr>
            <w:tcW w:w="846" w:type="dxa"/>
          </w:tcPr>
          <w:p w14:paraId="19AD72EB" w14:textId="4DFC8580" w:rsidR="00BB06EF" w:rsidRDefault="00BB06EF" w:rsidP="00BB06EF">
            <w:pPr>
              <w:ind w:right="113"/>
            </w:pPr>
            <w:r>
              <w:t>3</w:t>
            </w:r>
          </w:p>
        </w:tc>
        <w:tc>
          <w:tcPr>
            <w:tcW w:w="8170" w:type="dxa"/>
          </w:tcPr>
          <w:p w14:paraId="2E1E5140" w14:textId="08C6CB61" w:rsidR="00BB06EF" w:rsidRPr="00F40B9E" w:rsidRDefault="00DE49AB" w:rsidP="00BB06EF">
            <w:pPr>
              <w:ind w:right="113"/>
            </w:pPr>
            <w:r w:rsidRPr="00931A63">
              <w:t xml:space="preserve">Social distancing in </w:t>
            </w:r>
            <w:r w:rsidRPr="006023FD">
              <w:t xml:space="preserve">place </w:t>
            </w:r>
            <w:r w:rsidR="00931A63" w:rsidRPr="006023FD">
              <w:t>and other SOP controls.  R</w:t>
            </w:r>
            <w:r w:rsidR="00BB06EF" w:rsidRPr="006023FD">
              <w:t xml:space="preserve">egime delivered under more restricted local operating procedure adhering to </w:t>
            </w:r>
            <w:r w:rsidR="00931A63" w:rsidRPr="006023FD">
              <w:t>Exceptional Delivery Models (</w:t>
            </w:r>
            <w:r w:rsidR="006023FD" w:rsidRPr="006023FD">
              <w:t>EDM). Predominantly</w:t>
            </w:r>
            <w:r w:rsidR="00931A63" w:rsidRPr="006023FD">
              <w:t xml:space="preserve"> </w:t>
            </w:r>
            <w:r w:rsidR="006023FD" w:rsidRPr="006023FD">
              <w:t>e</w:t>
            </w:r>
            <w:r w:rsidR="00BB06EF" w:rsidRPr="006023FD">
              <w:t>ssential work for prisoners only</w:t>
            </w:r>
            <w:r w:rsidR="006023FD" w:rsidRPr="006023FD">
              <w:t xml:space="preserve">.  </w:t>
            </w:r>
            <w:r w:rsidR="00BB06EF" w:rsidRPr="006023FD">
              <w:t>Social visits with contact controls</w:t>
            </w:r>
            <w:r w:rsidR="005F16D6">
              <w:t xml:space="preserve"> but no refreshments</w:t>
            </w:r>
            <w:r w:rsidR="003C27F2">
              <w:t>, creche or property exchange</w:t>
            </w:r>
            <w:r w:rsidR="00BB06EF" w:rsidRPr="006023FD">
              <w:t>.</w:t>
            </w:r>
            <w:r w:rsidR="00BB06EF">
              <w:t xml:space="preserve"> </w:t>
            </w:r>
          </w:p>
        </w:tc>
      </w:tr>
      <w:tr w:rsidR="00BB06EF" w14:paraId="33797383" w14:textId="77777777" w:rsidTr="000E7DE6">
        <w:tc>
          <w:tcPr>
            <w:tcW w:w="846" w:type="dxa"/>
          </w:tcPr>
          <w:p w14:paraId="211CD98D" w14:textId="09AFD1C1" w:rsidR="00BB06EF" w:rsidRDefault="00BB06EF" w:rsidP="00BB06EF">
            <w:pPr>
              <w:ind w:right="113"/>
            </w:pPr>
            <w:r>
              <w:t>4</w:t>
            </w:r>
          </w:p>
        </w:tc>
        <w:tc>
          <w:tcPr>
            <w:tcW w:w="8170" w:type="dxa"/>
          </w:tcPr>
          <w:p w14:paraId="6AD2C917" w14:textId="731C58FA" w:rsidR="00BB06EF" w:rsidRPr="00E320E0" w:rsidRDefault="006023FD" w:rsidP="00BB06EF">
            <w:pPr>
              <w:ind w:right="113"/>
            </w:pPr>
            <w:r>
              <w:t>P</w:t>
            </w:r>
            <w:r w:rsidR="00BB06EF">
              <w:t>rison lock</w:t>
            </w:r>
            <w:r>
              <w:t xml:space="preserve">ed </w:t>
            </w:r>
            <w:r w:rsidR="00BB06EF">
              <w:t xml:space="preserve">down, </w:t>
            </w:r>
            <w:r w:rsidR="003C27F2">
              <w:t xml:space="preserve">regime </w:t>
            </w:r>
            <w:r w:rsidR="00BB06EF">
              <w:t>restricted except for essential services (meals, showers, healthcare, family contact (</w:t>
            </w:r>
            <w:r w:rsidR="003C27F2">
              <w:t xml:space="preserve">telephone and </w:t>
            </w:r>
            <w:r w:rsidR="0068278D">
              <w:t>video calling</w:t>
            </w:r>
            <w:r w:rsidR="00BB06EF">
              <w:t xml:space="preserve">) and </w:t>
            </w:r>
            <w:proofErr w:type="spellStart"/>
            <w:r w:rsidR="00BB06EF">
              <w:t>TiOA</w:t>
            </w:r>
            <w:proofErr w:type="spellEnd"/>
            <w:r w:rsidR="00BB06EF">
              <w:t xml:space="preserve">) and associated provision. </w:t>
            </w:r>
            <w:r>
              <w:t xml:space="preserve">High level of </w:t>
            </w:r>
            <w:r w:rsidR="008C51EB">
              <w:t>social distancing and controls.</w:t>
            </w:r>
            <w:r w:rsidR="00B90CC7">
              <w:t xml:space="preserve">  Social visits suspended</w:t>
            </w:r>
            <w:r w:rsidR="002A6215">
              <w:t xml:space="preserve"> or exceptionally </w:t>
            </w:r>
            <w:r w:rsidR="007F624B">
              <w:t xml:space="preserve">approved but </w:t>
            </w:r>
            <w:r w:rsidR="002A6215">
              <w:t>with no contact</w:t>
            </w:r>
            <w:r w:rsidR="00B90CC7">
              <w:t>.</w:t>
            </w:r>
          </w:p>
        </w:tc>
      </w:tr>
      <w:tr w:rsidR="00BB06EF" w14:paraId="4AEE4FC0" w14:textId="77777777" w:rsidTr="000E7DE6">
        <w:tc>
          <w:tcPr>
            <w:tcW w:w="846" w:type="dxa"/>
          </w:tcPr>
          <w:p w14:paraId="3659F730" w14:textId="774DA67B" w:rsidR="00BB06EF" w:rsidRDefault="00BB06EF" w:rsidP="00BB06EF">
            <w:pPr>
              <w:ind w:right="113"/>
            </w:pPr>
            <w:r w:rsidRPr="000E7DE6">
              <w:t>5</w:t>
            </w:r>
          </w:p>
        </w:tc>
        <w:tc>
          <w:tcPr>
            <w:tcW w:w="8170" w:type="dxa"/>
          </w:tcPr>
          <w:p w14:paraId="346CBF29" w14:textId="46807CD5" w:rsidR="00BB06EF" w:rsidRPr="003E0FAA" w:rsidRDefault="00BB06EF" w:rsidP="00F901A0">
            <w:pPr>
              <w:ind w:right="113"/>
            </w:pPr>
            <w:r>
              <w:t>Full prison lockdown below essential regime delivery. This will only be enacted under exceptional circumstances</w:t>
            </w:r>
            <w:r w:rsidR="007F624B">
              <w:t xml:space="preserve"> where staffing availability </w:t>
            </w:r>
            <w:r w:rsidR="004645A8">
              <w:t xml:space="preserve">due to the pandemic requires a regime </w:t>
            </w:r>
            <w:r>
              <w:t xml:space="preserve">focused to preserve life where </w:t>
            </w:r>
            <w:r w:rsidR="00D715B5">
              <w:t>there is</w:t>
            </w:r>
            <w:r>
              <w:t xml:space="preserve"> extreme and immediate pressure</w:t>
            </w:r>
            <w:r w:rsidR="00D715B5">
              <w:t>.</w:t>
            </w:r>
          </w:p>
        </w:tc>
      </w:tr>
    </w:tbl>
    <w:p w14:paraId="182C3041" w14:textId="77777777" w:rsidR="005E30FB" w:rsidRDefault="005E30FB" w:rsidP="005E30FB">
      <w:pPr>
        <w:spacing w:after="0" w:line="240" w:lineRule="auto"/>
        <w:ind w:right="113"/>
        <w:rPr>
          <w:u w:val="single"/>
        </w:rPr>
      </w:pPr>
    </w:p>
    <w:p w14:paraId="35831973" w14:textId="6B4187D1" w:rsidR="003E0FAA" w:rsidRDefault="00546820" w:rsidP="003E0FAA">
      <w:pPr>
        <w:spacing w:after="0" w:line="240" w:lineRule="auto"/>
        <w:ind w:left="57" w:right="113"/>
        <w:jc w:val="both"/>
      </w:pPr>
      <w:r>
        <w:t>W</w:t>
      </w:r>
      <w:r w:rsidR="003E0FAA">
        <w:t xml:space="preserve">ith immediate effect sites </w:t>
      </w:r>
      <w:r>
        <w:t xml:space="preserve">operating </w:t>
      </w:r>
      <w:r w:rsidR="003E0FAA">
        <w:t xml:space="preserve">at </w:t>
      </w:r>
      <w:r>
        <w:t>S</w:t>
      </w:r>
      <w:r w:rsidR="003E0FAA">
        <w:t>tage 1 must reinstate social distancing</w:t>
      </w:r>
      <w:r>
        <w:t xml:space="preserve"> and </w:t>
      </w:r>
      <w:r w:rsidR="00BF6947">
        <w:t>transition t</w:t>
      </w:r>
      <w:r w:rsidR="00DF1FC2">
        <w:t xml:space="preserve">o </w:t>
      </w:r>
      <w:r>
        <w:t xml:space="preserve">operate in </w:t>
      </w:r>
      <w:r w:rsidR="00C038A7">
        <w:t>accordance</w:t>
      </w:r>
      <w:r>
        <w:t xml:space="preserve"> with Stage 2 expectations</w:t>
      </w:r>
      <w:r w:rsidR="63F47439">
        <w:t>.</w:t>
      </w:r>
      <w:r w:rsidR="003E0FAA">
        <w:t xml:space="preserve">  </w:t>
      </w:r>
      <w:r>
        <w:t>It is accepted that prisons may not necessarily regress to their previous Stage 2 regime</w:t>
      </w:r>
      <w:r w:rsidR="00022C97">
        <w:t xml:space="preserve"> </w:t>
      </w:r>
      <w:r w:rsidR="00C038A7">
        <w:t xml:space="preserve">having made more recent changes, </w:t>
      </w:r>
      <w:r w:rsidR="00022C97">
        <w:t xml:space="preserve">but </w:t>
      </w:r>
      <w:r w:rsidR="00C038A7">
        <w:t xml:space="preserve">they </w:t>
      </w:r>
      <w:r w:rsidR="00022C97">
        <w:t xml:space="preserve">must now move </w:t>
      </w:r>
      <w:r w:rsidR="00022C97">
        <w:lastRenderedPageBreak/>
        <w:t>their current regime to Stage 2 by introducing social distancing and in turn reducing mixing and movement in the prison.</w:t>
      </w:r>
      <w:r w:rsidR="00595FA2">
        <w:t xml:space="preserve">  The </w:t>
      </w:r>
      <w:r w:rsidR="00FE0CD6">
        <w:t xml:space="preserve">precise </w:t>
      </w:r>
      <w:r w:rsidR="00595FA2">
        <w:t xml:space="preserve">level of regime </w:t>
      </w:r>
      <w:r w:rsidR="00FE0CD6">
        <w:t xml:space="preserve">activity </w:t>
      </w:r>
      <w:r w:rsidR="00595FA2">
        <w:t xml:space="preserve">operated within </w:t>
      </w:r>
      <w:r w:rsidR="00C038A7">
        <w:t>each</w:t>
      </w:r>
      <w:r w:rsidR="00595FA2">
        <w:t xml:space="preserve"> regime Stage will continue to be subject to local risk assessment and review.  It is accepted that whilst this Stage 2 level of operation is the baseline</w:t>
      </w:r>
      <w:r w:rsidR="00FE0CD6">
        <w:t>,</w:t>
      </w:r>
      <w:r w:rsidR="00595FA2">
        <w:t xml:space="preserve"> Governors may operate higher levels of control in some parts of their prison; indeed it is often the case that wings are subject to Stage 4 equivalent controls where there is an identified risk </w:t>
      </w:r>
      <w:r w:rsidR="00FA19DF">
        <w:t>such as in outbreak condition</w:t>
      </w:r>
      <w:r w:rsidR="00C038A7">
        <w:t>s</w:t>
      </w:r>
      <w:r w:rsidR="00FA19DF">
        <w:t xml:space="preserve"> and the wing is separate</w:t>
      </w:r>
      <w:r w:rsidR="00585A93">
        <w:t>d</w:t>
      </w:r>
      <w:r w:rsidR="00FA19DF">
        <w:t xml:space="preserve"> and contained from the </w:t>
      </w:r>
      <w:r w:rsidR="00C038A7">
        <w:t>less restricted regime</w:t>
      </w:r>
      <w:r w:rsidR="00FA19DF">
        <w:t xml:space="preserve"> </w:t>
      </w:r>
      <w:r w:rsidR="00C038A7">
        <w:t xml:space="preserve">operating in </w:t>
      </w:r>
      <w:r w:rsidR="00FA19DF">
        <w:t xml:space="preserve">the rest of the prison.  This continues to remain appropriate.  The </w:t>
      </w:r>
      <w:r w:rsidR="00AA2CC6">
        <w:t xml:space="preserve">regime operated must continue to be proportionate to the risk assessed locally, considering all factors </w:t>
      </w:r>
      <w:r w:rsidR="00F401D4">
        <w:t>e.g.</w:t>
      </w:r>
      <w:r w:rsidR="00AA2CC6">
        <w:t xml:space="preserve"> the </w:t>
      </w:r>
      <w:r w:rsidR="007C6586">
        <w:t>number of local cases, testing and vaccine level</w:t>
      </w:r>
      <w:r w:rsidR="00C038A7">
        <w:t>s for staff and prisoners (</w:t>
      </w:r>
      <w:r w:rsidR="007C6586">
        <w:t>including booster do</w:t>
      </w:r>
      <w:r w:rsidR="00C22253">
        <w:t>se</w:t>
      </w:r>
      <w:r w:rsidR="00F401D4">
        <w:t>s</w:t>
      </w:r>
      <w:r w:rsidR="00C038A7">
        <w:t>)</w:t>
      </w:r>
      <w:r w:rsidR="007C6586">
        <w:t>, the</w:t>
      </w:r>
      <w:r w:rsidR="00AC27DC">
        <w:t xml:space="preserve"> relative</w:t>
      </w:r>
      <w:r w:rsidR="007C6586">
        <w:t xml:space="preserve"> vulnerability of the </w:t>
      </w:r>
      <w:r w:rsidR="00C038A7">
        <w:t xml:space="preserve">prisoner </w:t>
      </w:r>
      <w:r w:rsidR="007C6586">
        <w:t xml:space="preserve">population, </w:t>
      </w:r>
      <w:r w:rsidR="00AC27DC">
        <w:t xml:space="preserve">and </w:t>
      </w:r>
      <w:r w:rsidR="007C6586">
        <w:t>the community position.</w:t>
      </w:r>
      <w:r w:rsidR="003E0FAA">
        <w:t xml:space="preserve"> </w:t>
      </w:r>
    </w:p>
    <w:p w14:paraId="0F3463C6" w14:textId="67E4616B" w:rsidR="003E0FAA" w:rsidRDefault="003E0FAA" w:rsidP="003E0FAA">
      <w:pPr>
        <w:spacing w:after="0" w:line="240" w:lineRule="auto"/>
        <w:ind w:left="57" w:right="113"/>
        <w:jc w:val="both"/>
      </w:pPr>
    </w:p>
    <w:p w14:paraId="3B7732BF" w14:textId="46807122" w:rsidR="003F1EC1" w:rsidRDefault="007C6586" w:rsidP="003F1EC1">
      <w:pPr>
        <w:spacing w:after="0" w:line="240" w:lineRule="auto"/>
        <w:ind w:left="57" w:right="113"/>
        <w:jc w:val="both"/>
      </w:pPr>
      <w:r>
        <w:t>P</w:t>
      </w:r>
      <w:r w:rsidR="003E0FAA">
        <w:t xml:space="preserve">rogression </w:t>
      </w:r>
      <w:r>
        <w:t xml:space="preserve">from Stage </w:t>
      </w:r>
      <w:r w:rsidR="00EA6EAF">
        <w:t>2 to</w:t>
      </w:r>
      <w:r>
        <w:t xml:space="preserve"> 1 is suspended at this time</w:t>
      </w:r>
      <w:r w:rsidR="0055401E">
        <w:t xml:space="preserve"> and prisons due to progress in the days following the publication of this briefing should pause these plans until </w:t>
      </w:r>
      <w:r w:rsidR="00BD3428">
        <w:t>further notice</w:t>
      </w:r>
      <w:r>
        <w:t>.  S</w:t>
      </w:r>
      <w:r w:rsidR="003E0FAA">
        <w:t xml:space="preserve">tage 2 </w:t>
      </w:r>
      <w:r>
        <w:t xml:space="preserve">prisons </w:t>
      </w:r>
      <w:r w:rsidR="003E0FAA">
        <w:t xml:space="preserve">should retain their </w:t>
      </w:r>
      <w:r>
        <w:t>social distancing.</w:t>
      </w:r>
      <w:r w:rsidR="003F1EC1">
        <w:t xml:space="preserve">  However, if a prison regresses to a lower regime Stage and </w:t>
      </w:r>
      <w:r w:rsidR="00FE0CD6">
        <w:t xml:space="preserve">subsequently </w:t>
      </w:r>
      <w:r w:rsidR="007E0431">
        <w:t>wishes to progress back to Stage 3 or 2</w:t>
      </w:r>
      <w:r w:rsidR="00FE0CD6">
        <w:t xml:space="preserve">, central Gold authority is not required – </w:t>
      </w:r>
      <w:r w:rsidR="007E0431">
        <w:t>th</w:t>
      </w:r>
      <w:r w:rsidR="00FE0CD6">
        <w:t xml:space="preserve">e decision may be made by the PGD in response to a request from the Governor. </w:t>
      </w:r>
      <w:r w:rsidR="006A3203">
        <w:t xml:space="preserve">Such progression decisions must </w:t>
      </w:r>
      <w:r w:rsidR="00FE0CD6">
        <w:t xml:space="preserve">not </w:t>
      </w:r>
      <w:r w:rsidR="006A3203">
        <w:t xml:space="preserve">be </w:t>
      </w:r>
      <w:r w:rsidR="00FE0CD6">
        <w:t xml:space="preserve">made without first considering </w:t>
      </w:r>
      <w:r w:rsidR="006A3203">
        <w:t>local public health advice</w:t>
      </w:r>
      <w:r w:rsidR="00BD3428">
        <w:t xml:space="preserve">, </w:t>
      </w:r>
      <w:r w:rsidR="00FE0CD6">
        <w:t>representations as part of</w:t>
      </w:r>
      <w:r w:rsidR="0055401E">
        <w:t xml:space="preserve"> recognised</w:t>
      </w:r>
      <w:r w:rsidR="00712241">
        <w:t xml:space="preserve"> trade union engagement</w:t>
      </w:r>
      <w:r w:rsidR="00BD3428">
        <w:t xml:space="preserve"> and the view of the Executive Director</w:t>
      </w:r>
      <w:r w:rsidR="00712241">
        <w:t>.</w:t>
      </w:r>
      <w:r w:rsidR="00E04283">
        <w:t xml:space="preserve">  The previous formal approval process to implement the initial regime </w:t>
      </w:r>
      <w:r w:rsidR="00631DAC">
        <w:t>stages in each prison will not need to be followed to make this return to a</w:t>
      </w:r>
      <w:r w:rsidR="002B6A45">
        <w:t xml:space="preserve"> previously</w:t>
      </w:r>
      <w:r w:rsidR="00631DAC">
        <w:t xml:space="preserve"> agreed regime stage for the prison, but after PGD approval th</w:t>
      </w:r>
      <w:r w:rsidR="005D7233">
        <w:t>e decision must be communicated to Gold for reporting and ratification.</w:t>
      </w:r>
      <w:r w:rsidR="000F65BE">
        <w:t xml:space="preserve">  All decisions to regress or progress regimes both within a regime stage and from one stage to another must be recorded within the local defensible decision log.</w:t>
      </w:r>
      <w:r w:rsidR="00585A93">
        <w:t xml:space="preserve">  Those prisons currently at Stage 3 are still able to progress to Stage 2 for the first time seeking initial regime </w:t>
      </w:r>
      <w:r w:rsidR="00BD3428">
        <w:t xml:space="preserve">stage </w:t>
      </w:r>
      <w:r w:rsidR="00585A93">
        <w:t xml:space="preserve">approval </w:t>
      </w:r>
      <w:r w:rsidR="00653417">
        <w:t>in accordance with previously issued guidance.</w:t>
      </w:r>
      <w:r w:rsidR="00585A93">
        <w:t xml:space="preserve"> </w:t>
      </w:r>
    </w:p>
    <w:p w14:paraId="5F29915D" w14:textId="77777777" w:rsidR="003E0FAA" w:rsidRDefault="003E0FAA" w:rsidP="00EA6EAF">
      <w:pPr>
        <w:spacing w:after="0" w:line="240" w:lineRule="auto"/>
        <w:ind w:right="113"/>
      </w:pPr>
    </w:p>
    <w:p w14:paraId="4C1A9982" w14:textId="6A9D3F8B" w:rsidR="00491742" w:rsidRPr="0039581B" w:rsidRDefault="00491742" w:rsidP="00EA6EAF">
      <w:pPr>
        <w:spacing w:after="0" w:line="240" w:lineRule="auto"/>
        <w:ind w:right="113"/>
        <w:rPr>
          <w:b/>
          <w:bCs/>
        </w:rPr>
      </w:pPr>
      <w:r w:rsidRPr="0039581B">
        <w:rPr>
          <w:b/>
          <w:bCs/>
        </w:rPr>
        <w:t>Exceptions</w:t>
      </w:r>
    </w:p>
    <w:p w14:paraId="49BAEF06" w14:textId="56DB31F1" w:rsidR="00634DC6" w:rsidRPr="0039581B" w:rsidRDefault="00EB1799" w:rsidP="00AC27DC">
      <w:pPr>
        <w:spacing w:after="0" w:line="240" w:lineRule="auto"/>
        <w:ind w:right="113"/>
        <w:jc w:val="both"/>
      </w:pPr>
      <w:r w:rsidRPr="0039581B">
        <w:t>The</w:t>
      </w:r>
      <w:r w:rsidR="00247FC1" w:rsidRPr="0039581B">
        <w:t>re is an exception</w:t>
      </w:r>
      <w:r w:rsidR="00653417" w:rsidRPr="0039581B">
        <w:t>s process</w:t>
      </w:r>
      <w:r w:rsidR="0055401E" w:rsidRPr="0039581B">
        <w:t xml:space="preserve"> </w:t>
      </w:r>
      <w:r w:rsidR="00247FC1" w:rsidRPr="0039581B">
        <w:t xml:space="preserve">to the national direction to restrict regimes to Stage 2 as a minimum and implement social distancing.  If a Governor (supported by their PGD) </w:t>
      </w:r>
      <w:r w:rsidR="00B03F53" w:rsidRPr="0039581B">
        <w:t xml:space="preserve">believes they should </w:t>
      </w:r>
      <w:r w:rsidR="008C54C2" w:rsidRPr="0039581B">
        <w:t xml:space="preserve">be </w:t>
      </w:r>
      <w:r w:rsidR="00937875" w:rsidRPr="0039581B">
        <w:t xml:space="preserve">permitted to </w:t>
      </w:r>
      <w:r w:rsidR="00D05A99" w:rsidRPr="0039581B">
        <w:t xml:space="preserve">continue to </w:t>
      </w:r>
      <w:r w:rsidR="00B03F53" w:rsidRPr="0039581B">
        <w:t xml:space="preserve">operate at a Stage 1 level (without social distancing) they should submit </w:t>
      </w:r>
      <w:r w:rsidR="00937875" w:rsidRPr="0039581B">
        <w:t xml:space="preserve">a short summary of </w:t>
      </w:r>
      <w:r w:rsidR="00B03F53" w:rsidRPr="0039581B">
        <w:t xml:space="preserve">their case to the </w:t>
      </w:r>
      <w:r w:rsidR="00491742" w:rsidRPr="0039581B">
        <w:t xml:space="preserve">Covid Gold Heatmap panel </w:t>
      </w:r>
      <w:r w:rsidR="00B03F53" w:rsidRPr="0039581B">
        <w:t xml:space="preserve">who will review </w:t>
      </w:r>
      <w:r w:rsidR="00684754" w:rsidRPr="0039581B">
        <w:t xml:space="preserve">it.  </w:t>
      </w:r>
      <w:r w:rsidR="00937875" w:rsidRPr="0039581B">
        <w:t xml:space="preserve">The </w:t>
      </w:r>
      <w:r w:rsidR="00C719A6" w:rsidRPr="0039581B">
        <w:t>submission should include</w:t>
      </w:r>
      <w:r w:rsidR="00634DC6" w:rsidRPr="0039581B">
        <w:t>:</w:t>
      </w:r>
    </w:p>
    <w:p w14:paraId="380AE06E" w14:textId="74BD00C1"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 xml:space="preserve">Vulnerability of the </w:t>
      </w:r>
      <w:r w:rsidR="00C719A6">
        <w:rPr>
          <w:rFonts w:eastAsia="Times New Roman"/>
        </w:rPr>
        <w:t xml:space="preserve">establishment’s </w:t>
      </w:r>
      <w:r>
        <w:rPr>
          <w:rFonts w:eastAsia="Times New Roman"/>
        </w:rPr>
        <w:t>population</w:t>
      </w:r>
    </w:p>
    <w:p w14:paraId="1450AEAF" w14:textId="659CBD90"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 xml:space="preserve">Evidence of good adherence to </w:t>
      </w:r>
      <w:r w:rsidR="00DF1FC2">
        <w:rPr>
          <w:rFonts w:eastAsia="Times New Roman"/>
        </w:rPr>
        <w:t>C</w:t>
      </w:r>
      <w:r>
        <w:rPr>
          <w:rFonts w:eastAsia="Times New Roman"/>
        </w:rPr>
        <w:t>ovid controls (e.g. testing uptake)</w:t>
      </w:r>
      <w:r w:rsidR="00C719A6">
        <w:rPr>
          <w:rFonts w:eastAsia="Times New Roman"/>
        </w:rPr>
        <w:t xml:space="preserve"> at the establishment</w:t>
      </w:r>
    </w:p>
    <w:p w14:paraId="764A376D" w14:textId="77777777"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Any other controls brought in to mitigate the risk (e.g. reduction of mixing)</w:t>
      </w:r>
    </w:p>
    <w:p w14:paraId="183D5838" w14:textId="12D76570" w:rsidR="00634DC6" w:rsidRDefault="00634DC6" w:rsidP="00634DC6">
      <w:pPr>
        <w:pStyle w:val="ListParagraph"/>
        <w:numPr>
          <w:ilvl w:val="0"/>
          <w:numId w:val="7"/>
        </w:numPr>
        <w:spacing w:after="0" w:line="240" w:lineRule="auto"/>
        <w:contextualSpacing w:val="0"/>
        <w:rPr>
          <w:rFonts w:eastAsia="Times New Roman"/>
        </w:rPr>
      </w:pPr>
      <w:r>
        <w:rPr>
          <w:rFonts w:eastAsia="Times New Roman"/>
        </w:rPr>
        <w:t xml:space="preserve">Any other </w:t>
      </w:r>
      <w:r w:rsidR="003843C8">
        <w:rPr>
          <w:rFonts w:eastAsia="Times New Roman"/>
        </w:rPr>
        <w:t xml:space="preserve">unique </w:t>
      </w:r>
      <w:r>
        <w:rPr>
          <w:rFonts w:eastAsia="Times New Roman"/>
        </w:rPr>
        <w:t>local circumstances t</w:t>
      </w:r>
      <w:r w:rsidR="00C719A6">
        <w:rPr>
          <w:rFonts w:eastAsia="Times New Roman"/>
        </w:rPr>
        <w:t>hey would like the panel to</w:t>
      </w:r>
      <w:r>
        <w:rPr>
          <w:rFonts w:eastAsia="Times New Roman"/>
        </w:rPr>
        <w:t xml:space="preserve"> consider</w:t>
      </w:r>
    </w:p>
    <w:p w14:paraId="32576662" w14:textId="77777777" w:rsidR="00634DC6" w:rsidRDefault="00634DC6" w:rsidP="00AC27DC">
      <w:pPr>
        <w:spacing w:after="0" w:line="240" w:lineRule="auto"/>
        <w:ind w:right="113"/>
        <w:jc w:val="both"/>
        <w:rPr>
          <w:highlight w:val="yellow"/>
        </w:rPr>
      </w:pPr>
    </w:p>
    <w:p w14:paraId="32119BFC" w14:textId="4959AA9D" w:rsidR="00F901A0" w:rsidRPr="0039581B" w:rsidRDefault="003843C8" w:rsidP="00AC27DC">
      <w:pPr>
        <w:spacing w:after="0" w:line="240" w:lineRule="auto"/>
        <w:ind w:right="113"/>
        <w:jc w:val="both"/>
        <w:rPr>
          <w:b/>
          <w:bCs/>
        </w:rPr>
      </w:pPr>
      <w:r w:rsidRPr="0039581B">
        <w:t xml:space="preserve">The Heatmap panel will </w:t>
      </w:r>
      <w:r w:rsidR="00E22686" w:rsidRPr="0039581B">
        <w:t>con</w:t>
      </w:r>
      <w:r w:rsidR="00D13C52" w:rsidRPr="0039581B">
        <w:t xml:space="preserve">sider </w:t>
      </w:r>
      <w:r w:rsidR="00C6401B" w:rsidRPr="0039581B">
        <w:t xml:space="preserve">any initial requests for an exception at its meeting on Friday </w:t>
      </w:r>
      <w:r w:rsidR="00ED52E2" w:rsidRPr="0039581B">
        <w:t>17</w:t>
      </w:r>
      <w:r w:rsidR="00ED52E2" w:rsidRPr="0039581B">
        <w:rPr>
          <w:vertAlign w:val="superscript"/>
        </w:rPr>
        <w:t>th</w:t>
      </w:r>
      <w:r w:rsidR="00ED52E2" w:rsidRPr="0039581B">
        <w:t xml:space="preserve"> December</w:t>
      </w:r>
      <w:r w:rsidR="00E233E7" w:rsidRPr="0039581B">
        <w:t>.</w:t>
      </w:r>
      <w:r w:rsidR="00ED52E2" w:rsidRPr="0039581B">
        <w:t xml:space="preserve"> </w:t>
      </w:r>
      <w:r w:rsidR="007A06B9" w:rsidRPr="0039581B">
        <w:t>S</w:t>
      </w:r>
      <w:r w:rsidR="00ED52E2" w:rsidRPr="0039581B">
        <w:t xml:space="preserve">ubmissions </w:t>
      </w:r>
      <w:r w:rsidR="007A06B9" w:rsidRPr="0039581B">
        <w:t xml:space="preserve">for consideration </w:t>
      </w:r>
      <w:r w:rsidR="002F1948" w:rsidRPr="0039581B">
        <w:rPr>
          <w:b/>
          <w:bCs/>
        </w:rPr>
        <w:t>must be</w:t>
      </w:r>
      <w:r w:rsidR="00ED52E2" w:rsidRPr="0039581B">
        <w:rPr>
          <w:b/>
          <w:bCs/>
        </w:rPr>
        <w:t xml:space="preserve"> received </w:t>
      </w:r>
      <w:r w:rsidR="007A06B9" w:rsidRPr="0039581B">
        <w:rPr>
          <w:b/>
          <w:bCs/>
        </w:rPr>
        <w:t xml:space="preserve">by </w:t>
      </w:r>
      <w:r w:rsidR="00A81B5F" w:rsidRPr="0039581B">
        <w:rPr>
          <w:b/>
          <w:bCs/>
        </w:rPr>
        <w:t>12noon</w:t>
      </w:r>
      <w:r w:rsidR="007A06B9" w:rsidRPr="0039581B">
        <w:rPr>
          <w:b/>
          <w:bCs/>
        </w:rPr>
        <w:t xml:space="preserve"> on Thursday </w:t>
      </w:r>
      <w:r w:rsidR="00A81B5F" w:rsidRPr="0039581B">
        <w:rPr>
          <w:b/>
          <w:bCs/>
        </w:rPr>
        <w:t>16</w:t>
      </w:r>
      <w:r w:rsidR="00A81B5F" w:rsidRPr="0039581B">
        <w:rPr>
          <w:b/>
          <w:bCs/>
          <w:vertAlign w:val="superscript"/>
        </w:rPr>
        <w:t>th</w:t>
      </w:r>
      <w:r w:rsidR="0039581B" w:rsidRPr="0039581B">
        <w:rPr>
          <w:vertAlign w:val="superscript"/>
        </w:rPr>
        <w:t xml:space="preserve"> </w:t>
      </w:r>
      <w:r w:rsidR="0039581B" w:rsidRPr="00E26933">
        <w:rPr>
          <w:b/>
          <w:bCs/>
        </w:rPr>
        <w:t>December</w:t>
      </w:r>
      <w:r w:rsidR="0039581B" w:rsidRPr="0039581B">
        <w:t xml:space="preserve"> to </w:t>
      </w:r>
      <w:hyperlink r:id="rId9" w:history="1">
        <w:r w:rsidR="00011388" w:rsidRPr="00C4604C">
          <w:rPr>
            <w:rStyle w:val="Hyperlink"/>
          </w:rPr>
          <w:t>christopher.huckle1@justice.gov.uk</w:t>
        </w:r>
      </w:hyperlink>
      <w:r w:rsidR="00011388">
        <w:t>.</w:t>
      </w:r>
      <w:r w:rsidR="003E1546">
        <w:t xml:space="preserve">  It is accepted that prisons applying for this will remain at Stage 1 until that decision is made.</w:t>
      </w:r>
      <w:r w:rsidR="00011388">
        <w:t xml:space="preserve"> </w:t>
      </w:r>
      <w:r w:rsidR="00E233E7" w:rsidRPr="0039581B">
        <w:t xml:space="preserve">The Heatmap </w:t>
      </w:r>
      <w:r w:rsidR="00EC38C7" w:rsidRPr="0039581B">
        <w:t xml:space="preserve">panel will continue to meet on a weekly basis and </w:t>
      </w:r>
      <w:r w:rsidR="00E13AE3" w:rsidRPr="0039581B">
        <w:t xml:space="preserve">any </w:t>
      </w:r>
      <w:r w:rsidR="00EC38C7" w:rsidRPr="0039581B">
        <w:t xml:space="preserve">submissions for exceptional consideration should </w:t>
      </w:r>
      <w:r w:rsidR="00E13AE3" w:rsidRPr="0039581B">
        <w:t xml:space="preserve">be received </w:t>
      </w:r>
      <w:r w:rsidR="000622A7" w:rsidRPr="0039581B">
        <w:t xml:space="preserve">the Thursday </w:t>
      </w:r>
      <w:r w:rsidR="007A06B9" w:rsidRPr="0039581B">
        <w:t xml:space="preserve">before </w:t>
      </w:r>
      <w:r w:rsidR="000622A7" w:rsidRPr="0039581B">
        <w:t>each</w:t>
      </w:r>
      <w:r w:rsidR="007A06B9" w:rsidRPr="0039581B">
        <w:t xml:space="preserve"> Heatmap panel.</w:t>
      </w:r>
      <w:r w:rsidR="00E22686" w:rsidRPr="0039581B">
        <w:t xml:space="preserve"> </w:t>
      </w:r>
    </w:p>
    <w:p w14:paraId="197E2EDB" w14:textId="12DD8094" w:rsidR="00475636" w:rsidRDefault="00475636" w:rsidP="00EA6EAF">
      <w:pPr>
        <w:pStyle w:val="NormalWeb"/>
        <w:ind w:right="120"/>
        <w:jc w:val="both"/>
        <w:rPr>
          <w:rFonts w:asciiTheme="minorHAnsi" w:hAnsiTheme="minorHAnsi" w:cstheme="minorHAnsi"/>
          <w:sz w:val="22"/>
          <w:szCs w:val="22"/>
        </w:rPr>
      </w:pPr>
      <w:r w:rsidRPr="006B040D">
        <w:rPr>
          <w:rFonts w:asciiTheme="minorHAnsi" w:hAnsiTheme="minorHAnsi" w:cstheme="minorHAnsi"/>
          <w:sz w:val="22"/>
          <w:szCs w:val="22"/>
        </w:rPr>
        <w:t>As of 10</w:t>
      </w:r>
      <w:r w:rsidR="0039581B" w:rsidRPr="0039581B">
        <w:rPr>
          <w:rFonts w:asciiTheme="minorHAnsi" w:hAnsiTheme="minorHAnsi" w:cstheme="minorHAnsi"/>
          <w:sz w:val="22"/>
          <w:szCs w:val="22"/>
          <w:vertAlign w:val="superscript"/>
        </w:rPr>
        <w:t>th</w:t>
      </w:r>
      <w:r w:rsidR="0039581B">
        <w:rPr>
          <w:rFonts w:asciiTheme="minorHAnsi" w:hAnsiTheme="minorHAnsi" w:cstheme="minorHAnsi"/>
          <w:sz w:val="22"/>
          <w:szCs w:val="22"/>
        </w:rPr>
        <w:t xml:space="preserve"> </w:t>
      </w:r>
      <w:r w:rsidRPr="006B040D">
        <w:rPr>
          <w:rFonts w:asciiTheme="minorHAnsi" w:hAnsiTheme="minorHAnsi" w:cstheme="minorHAnsi"/>
          <w:sz w:val="22"/>
          <w:szCs w:val="22"/>
        </w:rPr>
        <w:t xml:space="preserve">December, all establishments across the estate have been RAG rated as a minimum of AMBER by the Heatmap panel. </w:t>
      </w:r>
      <w:r w:rsidR="009D7F74" w:rsidRPr="006B040D">
        <w:rPr>
          <w:rFonts w:asciiTheme="minorHAnsi" w:hAnsiTheme="minorHAnsi" w:cstheme="minorHAnsi"/>
          <w:sz w:val="22"/>
          <w:szCs w:val="22"/>
        </w:rPr>
        <w:t xml:space="preserve">This is informed by the increased community transmission risk from omicron </w:t>
      </w:r>
      <w:r w:rsidR="0055401E" w:rsidRPr="006B040D">
        <w:rPr>
          <w:rFonts w:asciiTheme="minorHAnsi" w:hAnsiTheme="minorHAnsi" w:cstheme="minorHAnsi"/>
          <w:sz w:val="22"/>
          <w:szCs w:val="22"/>
        </w:rPr>
        <w:t>and means</w:t>
      </w:r>
      <w:r w:rsidR="00F401D4">
        <w:rPr>
          <w:rFonts w:asciiTheme="minorHAnsi" w:hAnsiTheme="minorHAnsi" w:cstheme="minorHAnsi"/>
          <w:sz w:val="22"/>
          <w:szCs w:val="22"/>
        </w:rPr>
        <w:t xml:space="preserve"> </w:t>
      </w:r>
      <w:r w:rsidR="009D7F74" w:rsidRPr="006B040D">
        <w:rPr>
          <w:rFonts w:asciiTheme="minorHAnsi" w:hAnsiTheme="minorHAnsi" w:cstheme="minorHAnsi"/>
          <w:sz w:val="22"/>
          <w:szCs w:val="22"/>
        </w:rPr>
        <w:t>that we are</w:t>
      </w:r>
      <w:r w:rsidRPr="006B040D">
        <w:rPr>
          <w:rFonts w:asciiTheme="minorHAnsi" w:hAnsiTheme="minorHAnsi" w:cstheme="minorHAnsi"/>
          <w:sz w:val="22"/>
          <w:szCs w:val="22"/>
        </w:rPr>
        <w:t xml:space="preserve"> </w:t>
      </w:r>
      <w:r w:rsidRPr="0039581B">
        <w:rPr>
          <w:rFonts w:asciiTheme="minorHAnsi" w:hAnsiTheme="minorHAnsi" w:cstheme="minorHAnsi"/>
          <w:b/>
          <w:bCs/>
          <w:sz w:val="22"/>
          <w:szCs w:val="22"/>
        </w:rPr>
        <w:t xml:space="preserve">re-instating reverse cohorting </w:t>
      </w:r>
      <w:r w:rsidR="009D7F74" w:rsidRPr="0039581B">
        <w:rPr>
          <w:rFonts w:asciiTheme="minorHAnsi" w:hAnsiTheme="minorHAnsi" w:cstheme="minorHAnsi"/>
          <w:b/>
          <w:bCs/>
          <w:sz w:val="22"/>
          <w:szCs w:val="22"/>
        </w:rPr>
        <w:t>across all prison transfers</w:t>
      </w:r>
      <w:r w:rsidR="009D7F74" w:rsidRPr="006B040D">
        <w:rPr>
          <w:rFonts w:asciiTheme="minorHAnsi" w:hAnsiTheme="minorHAnsi" w:cstheme="minorHAnsi"/>
          <w:sz w:val="22"/>
          <w:szCs w:val="22"/>
        </w:rPr>
        <w:t xml:space="preserve">. </w:t>
      </w:r>
      <w:r w:rsidR="0039581B">
        <w:rPr>
          <w:rFonts w:asciiTheme="minorHAnsi" w:hAnsiTheme="minorHAnsi" w:cstheme="minorHAnsi"/>
          <w:sz w:val="22"/>
          <w:szCs w:val="22"/>
        </w:rPr>
        <w:t>This reverse cohorting is in accordance with</w:t>
      </w:r>
      <w:r w:rsidR="0055401E">
        <w:rPr>
          <w:rFonts w:asciiTheme="minorHAnsi" w:hAnsiTheme="minorHAnsi" w:cstheme="minorHAnsi"/>
          <w:sz w:val="22"/>
          <w:szCs w:val="22"/>
        </w:rPr>
        <w:t xml:space="preserve"> existing guidance accessible </w:t>
      </w:r>
      <w:hyperlink r:id="rId10" w:history="1">
        <w:r w:rsidR="0055401E" w:rsidRPr="0055401E">
          <w:rPr>
            <w:rStyle w:val="Hyperlink"/>
            <w:rFonts w:asciiTheme="minorHAnsi" w:hAnsiTheme="minorHAnsi" w:cstheme="minorHAnsi"/>
            <w:sz w:val="22"/>
            <w:szCs w:val="22"/>
          </w:rPr>
          <w:t>here,</w:t>
        </w:r>
      </w:hyperlink>
      <w:r w:rsidR="0055401E">
        <w:rPr>
          <w:rFonts w:asciiTheme="minorHAnsi" w:hAnsiTheme="minorHAnsi" w:cstheme="minorHAnsi"/>
          <w:sz w:val="22"/>
          <w:szCs w:val="22"/>
        </w:rPr>
        <w:t xml:space="preserve"> and is 14 days as standard but can be reduced to at least 7 days where testing is utilised.</w:t>
      </w:r>
      <w:r w:rsidRPr="006B040D">
        <w:rPr>
          <w:rFonts w:asciiTheme="minorHAnsi" w:hAnsiTheme="minorHAnsi" w:cstheme="minorHAnsi"/>
          <w:sz w:val="22"/>
          <w:szCs w:val="22"/>
        </w:rPr>
        <w:t xml:space="preserve"> </w:t>
      </w:r>
      <w:r w:rsidR="009D7F74" w:rsidRPr="006B040D">
        <w:rPr>
          <w:rFonts w:asciiTheme="minorHAnsi" w:hAnsiTheme="minorHAnsi" w:cstheme="minorHAnsi"/>
          <w:sz w:val="22"/>
          <w:szCs w:val="22"/>
        </w:rPr>
        <w:t xml:space="preserve">The level of identified risk will continue to inform the RAG rating including the areas of the country where omicron is most emergent.  </w:t>
      </w:r>
      <w:r w:rsidR="009D7F74" w:rsidRPr="006B040D">
        <w:rPr>
          <w:rFonts w:asciiTheme="minorHAnsi" w:hAnsiTheme="minorHAnsi" w:cstheme="minorHAnsi"/>
          <w:sz w:val="22"/>
          <w:szCs w:val="22"/>
        </w:rPr>
        <w:lastRenderedPageBreak/>
        <w:t>E</w:t>
      </w:r>
      <w:r w:rsidRPr="006B040D">
        <w:rPr>
          <w:rFonts w:asciiTheme="minorHAnsi" w:hAnsiTheme="minorHAnsi" w:cstheme="minorHAnsi"/>
          <w:sz w:val="22"/>
          <w:szCs w:val="22"/>
        </w:rPr>
        <w:t xml:space="preserve">stablishments must continue to consult the </w:t>
      </w:r>
      <w:hyperlink r:id="rId11" w:history="1">
        <w:r w:rsidRPr="0055401E">
          <w:rPr>
            <w:rStyle w:val="Hyperlink"/>
            <w:rFonts w:asciiTheme="minorHAnsi" w:hAnsiTheme="minorHAnsi" w:cstheme="minorHAnsi"/>
            <w:sz w:val="22"/>
            <w:szCs w:val="22"/>
          </w:rPr>
          <w:t>heatmap</w:t>
        </w:r>
      </w:hyperlink>
      <w:r w:rsidRPr="006B040D">
        <w:rPr>
          <w:rFonts w:asciiTheme="minorHAnsi" w:hAnsiTheme="minorHAnsi" w:cstheme="minorHAnsi"/>
          <w:sz w:val="22"/>
          <w:szCs w:val="22"/>
        </w:rPr>
        <w:t xml:space="preserve"> </w:t>
      </w:r>
      <w:r w:rsidR="009D7F74" w:rsidRPr="006B040D">
        <w:rPr>
          <w:rFonts w:asciiTheme="minorHAnsi" w:hAnsiTheme="minorHAnsi" w:cstheme="minorHAnsi"/>
          <w:sz w:val="22"/>
          <w:szCs w:val="22"/>
        </w:rPr>
        <w:t>when locally assessing</w:t>
      </w:r>
      <w:r w:rsidRPr="006B040D">
        <w:rPr>
          <w:rFonts w:asciiTheme="minorHAnsi" w:hAnsiTheme="minorHAnsi" w:cstheme="minorHAnsi"/>
          <w:sz w:val="22"/>
          <w:szCs w:val="22"/>
        </w:rPr>
        <w:t xml:space="preserve"> risk </w:t>
      </w:r>
      <w:r w:rsidR="009D7F74" w:rsidRPr="006B040D">
        <w:rPr>
          <w:rFonts w:asciiTheme="minorHAnsi" w:hAnsiTheme="minorHAnsi" w:cstheme="minorHAnsi"/>
          <w:sz w:val="22"/>
          <w:szCs w:val="22"/>
        </w:rPr>
        <w:t xml:space="preserve">and </w:t>
      </w:r>
      <w:r w:rsidRPr="006B040D">
        <w:rPr>
          <w:rFonts w:asciiTheme="minorHAnsi" w:hAnsiTheme="minorHAnsi" w:cstheme="minorHAnsi"/>
          <w:sz w:val="22"/>
          <w:szCs w:val="22"/>
        </w:rPr>
        <w:t xml:space="preserve">any decisions around regime </w:t>
      </w:r>
      <w:r w:rsidR="009D7F74" w:rsidRPr="006B040D">
        <w:rPr>
          <w:rFonts w:asciiTheme="minorHAnsi" w:hAnsiTheme="minorHAnsi" w:cstheme="minorHAnsi"/>
          <w:sz w:val="22"/>
          <w:szCs w:val="22"/>
        </w:rPr>
        <w:t xml:space="preserve">activities or </w:t>
      </w:r>
      <w:r w:rsidRPr="006B040D">
        <w:rPr>
          <w:rFonts w:asciiTheme="minorHAnsi" w:hAnsiTheme="minorHAnsi" w:cstheme="minorHAnsi"/>
          <w:sz w:val="22"/>
          <w:szCs w:val="22"/>
        </w:rPr>
        <w:t>regression.  </w:t>
      </w:r>
    </w:p>
    <w:p w14:paraId="71407E17" w14:textId="77777777" w:rsidR="003D47D7" w:rsidRDefault="00F56B22" w:rsidP="00EA6EAF">
      <w:pPr>
        <w:pStyle w:val="NormalWeb"/>
        <w:spacing w:before="0" w:beforeAutospacing="0" w:after="0" w:afterAutospacing="0"/>
        <w:ind w:right="120"/>
        <w:jc w:val="both"/>
        <w:rPr>
          <w:rFonts w:asciiTheme="minorHAnsi" w:hAnsiTheme="minorHAnsi" w:cstheme="minorHAnsi"/>
          <w:b/>
          <w:bCs/>
          <w:sz w:val="22"/>
          <w:szCs w:val="22"/>
        </w:rPr>
      </w:pPr>
      <w:r w:rsidRPr="00F56B22">
        <w:rPr>
          <w:rFonts w:asciiTheme="minorHAnsi" w:hAnsiTheme="minorHAnsi" w:cstheme="minorHAnsi"/>
          <w:b/>
          <w:bCs/>
          <w:sz w:val="22"/>
          <w:szCs w:val="22"/>
        </w:rPr>
        <w:t>High</w:t>
      </w:r>
      <w:r>
        <w:rPr>
          <w:rFonts w:asciiTheme="minorHAnsi" w:hAnsiTheme="minorHAnsi" w:cstheme="minorHAnsi"/>
          <w:b/>
          <w:bCs/>
          <w:sz w:val="22"/>
          <w:szCs w:val="22"/>
        </w:rPr>
        <w:t>er</w:t>
      </w:r>
      <w:r w:rsidRPr="00F56B22">
        <w:rPr>
          <w:rFonts w:asciiTheme="minorHAnsi" w:hAnsiTheme="minorHAnsi" w:cstheme="minorHAnsi"/>
          <w:b/>
          <w:bCs/>
          <w:sz w:val="22"/>
          <w:szCs w:val="22"/>
        </w:rPr>
        <w:t xml:space="preserve"> risk activity</w:t>
      </w:r>
    </w:p>
    <w:p w14:paraId="6EC5CAC2" w14:textId="2182D380" w:rsidR="003D47D7" w:rsidRDefault="003D47D7" w:rsidP="00EA6EAF">
      <w:pPr>
        <w:pStyle w:val="NormalWeb"/>
        <w:spacing w:before="0" w:beforeAutospacing="0" w:after="0" w:afterAutospacing="0"/>
        <w:ind w:right="120"/>
        <w:jc w:val="both"/>
        <w:rPr>
          <w:rFonts w:asciiTheme="minorHAnsi" w:hAnsiTheme="minorHAnsi" w:cstheme="minorHAnsi"/>
          <w:sz w:val="22"/>
          <w:szCs w:val="22"/>
        </w:rPr>
      </w:pPr>
      <w:r>
        <w:rPr>
          <w:rFonts w:asciiTheme="minorHAnsi" w:hAnsiTheme="minorHAnsi" w:cstheme="minorHAnsi"/>
          <w:sz w:val="22"/>
          <w:szCs w:val="22"/>
        </w:rPr>
        <w:t xml:space="preserve">In accordance with UKHSA advice you must review your regime to </w:t>
      </w:r>
      <w:r w:rsidRPr="003D47D7">
        <w:rPr>
          <w:rFonts w:asciiTheme="minorHAnsi" w:hAnsiTheme="minorHAnsi" w:cstheme="minorHAnsi"/>
          <w:sz w:val="22"/>
          <w:szCs w:val="22"/>
        </w:rPr>
        <w:t xml:space="preserve">reduce </w:t>
      </w:r>
      <w:r>
        <w:rPr>
          <w:rFonts w:asciiTheme="minorHAnsi" w:hAnsiTheme="minorHAnsi" w:cstheme="minorHAnsi"/>
          <w:sz w:val="22"/>
          <w:szCs w:val="22"/>
        </w:rPr>
        <w:t xml:space="preserve">the </w:t>
      </w:r>
      <w:r w:rsidRPr="003D47D7">
        <w:rPr>
          <w:rFonts w:asciiTheme="minorHAnsi" w:hAnsiTheme="minorHAnsi" w:cstheme="minorHAnsi"/>
          <w:sz w:val="22"/>
          <w:szCs w:val="22"/>
        </w:rPr>
        <w:t>risk of mixing among large groups, especially across groups working or living in different parts of a prison, including</w:t>
      </w:r>
      <w:r>
        <w:rPr>
          <w:rFonts w:asciiTheme="minorHAnsi" w:hAnsiTheme="minorHAnsi" w:cstheme="minorHAnsi"/>
          <w:sz w:val="22"/>
          <w:szCs w:val="22"/>
        </w:rPr>
        <w:t xml:space="preserve"> cohorting</w:t>
      </w:r>
      <w:r w:rsidRPr="003D47D7">
        <w:rPr>
          <w:rFonts w:asciiTheme="minorHAnsi" w:hAnsiTheme="minorHAnsi" w:cstheme="minorHAnsi"/>
          <w:sz w:val="22"/>
          <w:szCs w:val="22"/>
        </w:rPr>
        <w:t xml:space="preserve"> staff </w:t>
      </w:r>
      <w:r>
        <w:rPr>
          <w:rFonts w:asciiTheme="minorHAnsi" w:hAnsiTheme="minorHAnsi" w:cstheme="minorHAnsi"/>
          <w:sz w:val="22"/>
          <w:szCs w:val="22"/>
        </w:rPr>
        <w:t xml:space="preserve">groups </w:t>
      </w:r>
      <w:r w:rsidR="00FE0157">
        <w:rPr>
          <w:rFonts w:asciiTheme="minorHAnsi" w:hAnsiTheme="minorHAnsi" w:cstheme="minorHAnsi"/>
          <w:sz w:val="22"/>
          <w:szCs w:val="22"/>
        </w:rPr>
        <w:t>and</w:t>
      </w:r>
      <w:r>
        <w:rPr>
          <w:rFonts w:asciiTheme="minorHAnsi" w:hAnsiTheme="minorHAnsi" w:cstheme="minorHAnsi"/>
          <w:sz w:val="22"/>
          <w:szCs w:val="22"/>
        </w:rPr>
        <w:t xml:space="preserve"> compartmentalising the prison wherever possible</w:t>
      </w:r>
      <w:r w:rsidRPr="003D47D7">
        <w:rPr>
          <w:rFonts w:asciiTheme="minorHAnsi" w:hAnsiTheme="minorHAnsi" w:cstheme="minorHAnsi"/>
          <w:sz w:val="22"/>
          <w:szCs w:val="22"/>
        </w:rPr>
        <w:t xml:space="preserve">. </w:t>
      </w:r>
      <w:r w:rsidR="00FE0157">
        <w:rPr>
          <w:rFonts w:asciiTheme="minorHAnsi" w:hAnsiTheme="minorHAnsi" w:cstheme="minorHAnsi"/>
          <w:sz w:val="22"/>
          <w:szCs w:val="22"/>
        </w:rPr>
        <w:t xml:space="preserve"> </w:t>
      </w:r>
      <w:r w:rsidR="00F401D4">
        <w:rPr>
          <w:rFonts w:asciiTheme="minorHAnsi" w:hAnsiTheme="minorHAnsi" w:cstheme="minorHAnsi"/>
          <w:sz w:val="22"/>
          <w:szCs w:val="22"/>
        </w:rPr>
        <w:t>L</w:t>
      </w:r>
      <w:r w:rsidR="00C31529">
        <w:rPr>
          <w:rFonts w:asciiTheme="minorHAnsi" w:hAnsiTheme="minorHAnsi" w:cstheme="minorHAnsi"/>
          <w:sz w:val="22"/>
          <w:szCs w:val="22"/>
        </w:rPr>
        <w:t>arger events</w:t>
      </w:r>
      <w:r w:rsidR="00F401D4">
        <w:rPr>
          <w:rFonts w:asciiTheme="minorHAnsi" w:hAnsiTheme="minorHAnsi" w:cstheme="minorHAnsi"/>
          <w:sz w:val="22"/>
          <w:szCs w:val="22"/>
        </w:rPr>
        <w:t xml:space="preserve"> which</w:t>
      </w:r>
      <w:r w:rsidR="00C31529">
        <w:rPr>
          <w:rFonts w:asciiTheme="minorHAnsi" w:hAnsiTheme="minorHAnsi" w:cstheme="minorHAnsi"/>
          <w:sz w:val="22"/>
          <w:szCs w:val="22"/>
        </w:rPr>
        <w:t xml:space="preserve"> may have been planned </w:t>
      </w:r>
      <w:r w:rsidR="00F401D4">
        <w:rPr>
          <w:rFonts w:asciiTheme="minorHAnsi" w:hAnsiTheme="minorHAnsi" w:cstheme="minorHAnsi"/>
          <w:sz w:val="22"/>
          <w:szCs w:val="22"/>
        </w:rPr>
        <w:t xml:space="preserve">over Christmas </w:t>
      </w:r>
      <w:r w:rsidR="00EC2731">
        <w:rPr>
          <w:rFonts w:asciiTheme="minorHAnsi" w:hAnsiTheme="minorHAnsi" w:cstheme="minorHAnsi"/>
          <w:sz w:val="22"/>
          <w:szCs w:val="22"/>
        </w:rPr>
        <w:t>that bring groups together that do not ordinarily mix</w:t>
      </w:r>
      <w:r w:rsidR="00E44DBB">
        <w:rPr>
          <w:rFonts w:asciiTheme="minorHAnsi" w:hAnsiTheme="minorHAnsi" w:cstheme="minorHAnsi"/>
          <w:sz w:val="22"/>
          <w:szCs w:val="22"/>
        </w:rPr>
        <w:t xml:space="preserve"> </w:t>
      </w:r>
      <w:r w:rsidR="00C31529">
        <w:rPr>
          <w:rFonts w:asciiTheme="minorHAnsi" w:hAnsiTheme="minorHAnsi" w:cstheme="minorHAnsi"/>
          <w:sz w:val="22"/>
          <w:szCs w:val="22"/>
        </w:rPr>
        <w:t>must be reviewed</w:t>
      </w:r>
      <w:r w:rsidR="00E44DBB">
        <w:rPr>
          <w:rFonts w:asciiTheme="minorHAnsi" w:hAnsiTheme="minorHAnsi" w:cstheme="minorHAnsi"/>
          <w:sz w:val="22"/>
          <w:szCs w:val="22"/>
        </w:rPr>
        <w:t>, with a default to cancel them unless wholly exceptional circumstances apply</w:t>
      </w:r>
      <w:r w:rsidR="00C31529">
        <w:rPr>
          <w:rFonts w:asciiTheme="minorHAnsi" w:hAnsiTheme="minorHAnsi" w:cstheme="minorHAnsi"/>
          <w:sz w:val="22"/>
          <w:szCs w:val="22"/>
        </w:rPr>
        <w:t xml:space="preserve">. </w:t>
      </w:r>
    </w:p>
    <w:p w14:paraId="4BA83B43" w14:textId="0FF6591A" w:rsidR="00804BDD" w:rsidRDefault="00804BDD" w:rsidP="00EA6EAF">
      <w:pPr>
        <w:pStyle w:val="NormalWeb"/>
        <w:spacing w:before="0" w:beforeAutospacing="0" w:after="0" w:afterAutospacing="0"/>
        <w:ind w:right="120"/>
        <w:jc w:val="both"/>
        <w:rPr>
          <w:rFonts w:asciiTheme="minorHAnsi" w:hAnsiTheme="minorHAnsi" w:cstheme="minorHAnsi"/>
          <w:sz w:val="22"/>
          <w:szCs w:val="22"/>
        </w:rPr>
      </w:pPr>
    </w:p>
    <w:p w14:paraId="78C4F32A" w14:textId="037950E2" w:rsidR="00804BDD" w:rsidRPr="0039581B" w:rsidRDefault="00804BDD" w:rsidP="00EA6EAF">
      <w:pPr>
        <w:pStyle w:val="NormalWeb"/>
        <w:spacing w:before="0" w:beforeAutospacing="0" w:after="0" w:afterAutospacing="0"/>
        <w:ind w:right="120"/>
        <w:jc w:val="both"/>
        <w:rPr>
          <w:rFonts w:asciiTheme="minorHAnsi" w:hAnsiTheme="minorHAnsi" w:cstheme="minorHAnsi"/>
          <w:b/>
          <w:bCs/>
          <w:sz w:val="22"/>
          <w:szCs w:val="22"/>
        </w:rPr>
      </w:pPr>
      <w:r w:rsidRPr="0039581B">
        <w:rPr>
          <w:rFonts w:asciiTheme="minorHAnsi" w:hAnsiTheme="minorHAnsi" w:cstheme="minorHAnsi"/>
          <w:b/>
          <w:bCs/>
          <w:sz w:val="22"/>
          <w:szCs w:val="22"/>
        </w:rPr>
        <w:t>Social Distancing</w:t>
      </w:r>
    </w:p>
    <w:p w14:paraId="60208FD1" w14:textId="3EE30538" w:rsidR="00804BDD" w:rsidRPr="003D47D7" w:rsidRDefault="00EA4801" w:rsidP="00EA6EAF">
      <w:pPr>
        <w:pStyle w:val="NormalWeb"/>
        <w:spacing w:before="0" w:beforeAutospacing="0" w:after="0" w:afterAutospacing="0"/>
        <w:ind w:right="120"/>
        <w:jc w:val="both"/>
        <w:rPr>
          <w:rFonts w:asciiTheme="minorHAnsi" w:hAnsiTheme="minorHAnsi" w:cstheme="minorHAnsi"/>
          <w:sz w:val="20"/>
          <w:szCs w:val="20"/>
        </w:rPr>
      </w:pPr>
      <w:r w:rsidRPr="0039581B">
        <w:rPr>
          <w:rFonts w:asciiTheme="minorHAnsi" w:hAnsiTheme="minorHAnsi" w:cstheme="minorHAnsi"/>
          <w:sz w:val="22"/>
          <w:szCs w:val="22"/>
        </w:rPr>
        <w:t xml:space="preserve">Social distancing is the </w:t>
      </w:r>
      <w:r w:rsidR="000A3420" w:rsidRPr="0039581B">
        <w:rPr>
          <w:rFonts w:asciiTheme="minorHAnsi" w:hAnsiTheme="minorHAnsi" w:cstheme="minorHAnsi"/>
          <w:sz w:val="22"/>
          <w:szCs w:val="22"/>
        </w:rPr>
        <w:t>maintenance</w:t>
      </w:r>
      <w:r w:rsidRPr="0039581B">
        <w:rPr>
          <w:rFonts w:asciiTheme="minorHAnsi" w:hAnsiTheme="minorHAnsi" w:cstheme="minorHAnsi"/>
          <w:sz w:val="22"/>
          <w:szCs w:val="22"/>
        </w:rPr>
        <w:t xml:space="preserve"> of a minimum 2 metre distan</w:t>
      </w:r>
      <w:r w:rsidR="00FB3EB5" w:rsidRPr="0039581B">
        <w:rPr>
          <w:rFonts w:asciiTheme="minorHAnsi" w:hAnsiTheme="minorHAnsi" w:cstheme="minorHAnsi"/>
          <w:sz w:val="22"/>
          <w:szCs w:val="22"/>
        </w:rPr>
        <w:t>c</w:t>
      </w:r>
      <w:r w:rsidRPr="0039581B">
        <w:rPr>
          <w:rFonts w:asciiTheme="minorHAnsi" w:hAnsiTheme="minorHAnsi" w:cstheme="minorHAnsi"/>
          <w:sz w:val="22"/>
          <w:szCs w:val="22"/>
        </w:rPr>
        <w:t>e</w:t>
      </w:r>
      <w:r w:rsidR="000A3420" w:rsidRPr="0039581B">
        <w:rPr>
          <w:rFonts w:asciiTheme="minorHAnsi" w:hAnsiTheme="minorHAnsi" w:cstheme="minorHAnsi"/>
          <w:sz w:val="22"/>
          <w:szCs w:val="22"/>
        </w:rPr>
        <w:t xml:space="preserve"> from those that do not reside together in a</w:t>
      </w:r>
      <w:r w:rsidR="00FB3EB5" w:rsidRPr="0039581B">
        <w:rPr>
          <w:rFonts w:asciiTheme="minorHAnsi" w:hAnsiTheme="minorHAnsi" w:cstheme="minorHAnsi"/>
          <w:sz w:val="22"/>
          <w:szCs w:val="22"/>
        </w:rPr>
        <w:t xml:space="preserve"> “household”.  </w:t>
      </w:r>
      <w:r w:rsidR="00804BDD" w:rsidRPr="0039581B">
        <w:rPr>
          <w:rFonts w:asciiTheme="minorHAnsi" w:hAnsiTheme="minorHAnsi" w:cstheme="minorHAnsi"/>
          <w:sz w:val="22"/>
          <w:szCs w:val="22"/>
        </w:rPr>
        <w:t xml:space="preserve">The </w:t>
      </w:r>
      <w:r w:rsidR="0055401E" w:rsidRPr="0039581B">
        <w:rPr>
          <w:rFonts w:asciiTheme="minorHAnsi" w:hAnsiTheme="minorHAnsi" w:cstheme="minorHAnsi"/>
          <w:sz w:val="22"/>
          <w:szCs w:val="22"/>
        </w:rPr>
        <w:t xml:space="preserve">v8 </w:t>
      </w:r>
      <w:r w:rsidR="00804BDD" w:rsidRPr="0039581B">
        <w:rPr>
          <w:rFonts w:asciiTheme="minorHAnsi" w:hAnsiTheme="minorHAnsi" w:cstheme="minorHAnsi"/>
          <w:sz w:val="22"/>
          <w:szCs w:val="22"/>
        </w:rPr>
        <w:t>HMPPS SOP</w:t>
      </w:r>
      <w:r w:rsidR="0055401E" w:rsidRPr="0039581B">
        <w:rPr>
          <w:rFonts w:asciiTheme="minorHAnsi" w:hAnsiTheme="minorHAnsi" w:cstheme="minorHAnsi"/>
          <w:sz w:val="22"/>
          <w:szCs w:val="22"/>
        </w:rPr>
        <w:t>s</w:t>
      </w:r>
      <w:r w:rsidR="00804BDD" w:rsidRPr="0039581B">
        <w:rPr>
          <w:rFonts w:asciiTheme="minorHAnsi" w:hAnsiTheme="minorHAnsi" w:cstheme="minorHAnsi"/>
          <w:sz w:val="22"/>
          <w:szCs w:val="22"/>
        </w:rPr>
        <w:t xml:space="preserve"> detail </w:t>
      </w:r>
      <w:r w:rsidR="005D69E9" w:rsidRPr="0039581B">
        <w:rPr>
          <w:rFonts w:asciiTheme="minorHAnsi" w:hAnsiTheme="minorHAnsi" w:cstheme="minorHAnsi"/>
          <w:sz w:val="22"/>
          <w:szCs w:val="22"/>
        </w:rPr>
        <w:t>circumstances where the 2 metre social distancing rule cannot be maintained</w:t>
      </w:r>
      <w:r w:rsidR="0055401E" w:rsidRPr="0039581B">
        <w:rPr>
          <w:rFonts w:asciiTheme="minorHAnsi" w:hAnsiTheme="minorHAnsi" w:cstheme="minorHAnsi"/>
          <w:sz w:val="22"/>
          <w:szCs w:val="22"/>
        </w:rPr>
        <w:t xml:space="preserve"> and the controls that should be in place to manage specific activities</w:t>
      </w:r>
      <w:r w:rsidR="005D69E9" w:rsidRPr="0039581B">
        <w:rPr>
          <w:rFonts w:asciiTheme="minorHAnsi" w:hAnsiTheme="minorHAnsi" w:cstheme="minorHAnsi"/>
          <w:sz w:val="22"/>
          <w:szCs w:val="22"/>
        </w:rPr>
        <w:t>.</w:t>
      </w:r>
      <w:r w:rsidR="0055401E" w:rsidRPr="0039581B">
        <w:rPr>
          <w:rFonts w:asciiTheme="minorHAnsi" w:hAnsiTheme="minorHAnsi" w:cstheme="minorHAnsi"/>
          <w:sz w:val="22"/>
          <w:szCs w:val="22"/>
        </w:rPr>
        <w:t xml:space="preserve"> These are accessible </w:t>
      </w:r>
      <w:hyperlink r:id="rId12" w:history="1">
        <w:r w:rsidR="0055401E" w:rsidRPr="0039581B">
          <w:rPr>
            <w:rStyle w:val="Hyperlink"/>
            <w:rFonts w:asciiTheme="minorHAnsi" w:hAnsiTheme="minorHAnsi" w:cstheme="minorHAnsi"/>
            <w:sz w:val="22"/>
            <w:szCs w:val="22"/>
          </w:rPr>
          <w:t>here.</w:t>
        </w:r>
      </w:hyperlink>
      <w:r w:rsidR="005D69E9" w:rsidRPr="0039581B">
        <w:rPr>
          <w:rFonts w:asciiTheme="minorHAnsi" w:hAnsiTheme="minorHAnsi" w:cstheme="minorHAnsi"/>
          <w:sz w:val="22"/>
          <w:szCs w:val="22"/>
        </w:rPr>
        <w:t xml:space="preserve">  The </w:t>
      </w:r>
      <w:r w:rsidR="001C5669" w:rsidRPr="0039581B">
        <w:rPr>
          <w:rFonts w:asciiTheme="minorHAnsi" w:hAnsiTheme="minorHAnsi" w:cstheme="minorHAnsi"/>
          <w:sz w:val="22"/>
          <w:szCs w:val="22"/>
        </w:rPr>
        <w:t xml:space="preserve">key mitigation in these circumstances is the </w:t>
      </w:r>
      <w:r w:rsidR="00FB3EB5" w:rsidRPr="0039581B">
        <w:rPr>
          <w:rFonts w:asciiTheme="minorHAnsi" w:hAnsiTheme="minorHAnsi" w:cstheme="minorHAnsi"/>
          <w:sz w:val="22"/>
          <w:szCs w:val="22"/>
        </w:rPr>
        <w:t>use</w:t>
      </w:r>
      <w:r w:rsidR="001C5669" w:rsidRPr="0039581B">
        <w:rPr>
          <w:rFonts w:asciiTheme="minorHAnsi" w:hAnsiTheme="minorHAnsi" w:cstheme="minorHAnsi"/>
          <w:sz w:val="22"/>
          <w:szCs w:val="22"/>
        </w:rPr>
        <w:t xml:space="preserve"> of face masks as PPE</w:t>
      </w:r>
      <w:r w:rsidR="00F901A0" w:rsidRPr="0039581B">
        <w:rPr>
          <w:rFonts w:asciiTheme="minorHAnsi" w:hAnsiTheme="minorHAnsi" w:cstheme="minorHAnsi"/>
          <w:sz w:val="22"/>
          <w:szCs w:val="22"/>
        </w:rPr>
        <w:t xml:space="preserve"> to allow sub-2 metre contact. </w:t>
      </w:r>
    </w:p>
    <w:p w14:paraId="49721AAE" w14:textId="77777777" w:rsidR="00EC2731" w:rsidRDefault="00EC2731" w:rsidP="00EA6EAF">
      <w:pPr>
        <w:spacing w:after="0" w:line="240" w:lineRule="auto"/>
        <w:ind w:right="113"/>
        <w:rPr>
          <w:b/>
          <w:bCs/>
        </w:rPr>
      </w:pPr>
    </w:p>
    <w:p w14:paraId="7CC26C49" w14:textId="35811A07" w:rsidR="00DD15D0" w:rsidRDefault="00DD15D0" w:rsidP="00EA6EAF">
      <w:pPr>
        <w:spacing w:after="0" w:line="240" w:lineRule="auto"/>
        <w:ind w:right="113"/>
        <w:rPr>
          <w:b/>
          <w:bCs/>
        </w:rPr>
      </w:pPr>
      <w:r>
        <w:rPr>
          <w:b/>
          <w:bCs/>
        </w:rPr>
        <w:t xml:space="preserve">Work </w:t>
      </w:r>
      <w:r w:rsidR="0039581B">
        <w:rPr>
          <w:b/>
          <w:bCs/>
        </w:rPr>
        <w:t>from</w:t>
      </w:r>
      <w:r>
        <w:rPr>
          <w:b/>
          <w:bCs/>
        </w:rPr>
        <w:t xml:space="preserve"> Home Guidance</w:t>
      </w:r>
    </w:p>
    <w:p w14:paraId="05275330" w14:textId="34D03F95" w:rsidR="00DD15D0" w:rsidRDefault="00EA1728" w:rsidP="00EA6EAF">
      <w:pPr>
        <w:spacing w:after="0" w:line="240" w:lineRule="auto"/>
        <w:ind w:right="113"/>
        <w:jc w:val="both"/>
        <w:rPr>
          <w:rStyle w:val="normaltextrun"/>
          <w:rFonts w:cstheme="minorHAnsi"/>
        </w:rPr>
      </w:pPr>
      <w:r>
        <w:t>As outlined in the Gold Brief of 9</w:t>
      </w:r>
      <w:r w:rsidR="0039581B" w:rsidRPr="0039581B">
        <w:rPr>
          <w:vertAlign w:val="superscript"/>
        </w:rPr>
        <w:t>th</w:t>
      </w:r>
      <w:r w:rsidR="0039581B">
        <w:t xml:space="preserve"> </w:t>
      </w:r>
      <w:r>
        <w:t xml:space="preserve">December </w:t>
      </w:r>
      <w:r w:rsidR="00502A53" w:rsidRPr="007A06B9">
        <w:rPr>
          <w:b/>
          <w:bCs/>
        </w:rPr>
        <w:t>all</w:t>
      </w:r>
      <w:r w:rsidRPr="007A06B9">
        <w:rPr>
          <w:b/>
          <w:bCs/>
        </w:rPr>
        <w:t xml:space="preserve"> non-essential footfall </w:t>
      </w:r>
      <w:r w:rsidR="0055401E">
        <w:rPr>
          <w:b/>
          <w:bCs/>
        </w:rPr>
        <w:t>must</w:t>
      </w:r>
      <w:r w:rsidRPr="0039581B">
        <w:rPr>
          <w:b/>
          <w:bCs/>
        </w:rPr>
        <w:t xml:space="preserve"> be stopped</w:t>
      </w:r>
      <w:r>
        <w:t xml:space="preserve"> to limit the risk of incursion</w:t>
      </w:r>
      <w:r w:rsidR="0070413A">
        <w:t xml:space="preserve"> of the virus into the prison</w:t>
      </w:r>
      <w:r>
        <w:t>.</w:t>
      </w:r>
      <w:r w:rsidR="00C63880">
        <w:t xml:space="preserve"> </w:t>
      </w:r>
      <w:r w:rsidR="00C04115">
        <w:t xml:space="preserve">  Those that can work from home should work from home, however those that cannot deliver their r</w:t>
      </w:r>
      <w:r w:rsidR="00E766AC">
        <w:t xml:space="preserve">ole or service remotely must attend work.  This work from home guidance is different from the “stay at home” </w:t>
      </w:r>
      <w:r w:rsidR="0039581B">
        <w:t xml:space="preserve">direction </w:t>
      </w:r>
      <w:r w:rsidR="00E766AC">
        <w:t xml:space="preserve">previously in the pandemic.  Where </w:t>
      </w:r>
      <w:r w:rsidR="00387F64">
        <w:t xml:space="preserve">elements of the regime such as education continue to operate </w:t>
      </w:r>
      <w:r w:rsidR="0055401E">
        <w:t>for example,</w:t>
      </w:r>
      <w:r w:rsidR="0039581B">
        <w:t xml:space="preserve"> </w:t>
      </w:r>
      <w:r w:rsidR="00387F64">
        <w:t>teaching staff will continue to need to attend the prison</w:t>
      </w:r>
      <w:r w:rsidR="00FB4FDF">
        <w:t xml:space="preserve">.  A wide range of other roles will require attendance in the prison to conduct their work and Governors and line managers much consider the “business need” </w:t>
      </w:r>
      <w:r w:rsidR="00FB4FDF" w:rsidRPr="002616F8">
        <w:rPr>
          <w:rFonts w:cstheme="minorHAnsi"/>
        </w:rPr>
        <w:t xml:space="preserve">in making decisions </w:t>
      </w:r>
      <w:r w:rsidR="00E44DBB">
        <w:rPr>
          <w:rFonts w:cstheme="minorHAnsi"/>
        </w:rPr>
        <w:t xml:space="preserve">about </w:t>
      </w:r>
      <w:r w:rsidR="00FB4FDF" w:rsidRPr="002616F8">
        <w:rPr>
          <w:rFonts w:cstheme="minorHAnsi"/>
        </w:rPr>
        <w:t>whether a staff member or contractor should be in attendance physically.  Ultimately our aim is to en</w:t>
      </w:r>
      <w:r w:rsidR="00FF6222" w:rsidRPr="002616F8">
        <w:rPr>
          <w:rFonts w:cstheme="minorHAnsi"/>
        </w:rPr>
        <w:t xml:space="preserve">sure that we reduce footfall into our prisons and those that can </w:t>
      </w:r>
      <w:r w:rsidR="00FC0B8E" w:rsidRPr="002616F8">
        <w:rPr>
          <w:rFonts w:cstheme="minorHAnsi"/>
        </w:rPr>
        <w:t>work remotely do so.</w:t>
      </w:r>
      <w:r w:rsidR="003067F3" w:rsidRPr="002616F8">
        <w:rPr>
          <w:rStyle w:val="normaltextrun"/>
          <w:rFonts w:cstheme="minorHAnsi"/>
        </w:rPr>
        <w:t xml:space="preserve"> </w:t>
      </w:r>
    </w:p>
    <w:p w14:paraId="50AF0817" w14:textId="7B10D6C3" w:rsidR="00DD15D0" w:rsidRPr="00DD15D0" w:rsidRDefault="00DD15D0" w:rsidP="00EA6EAF">
      <w:pPr>
        <w:pStyle w:val="paragraph"/>
        <w:tabs>
          <w:tab w:val="left" w:pos="2710"/>
        </w:tabs>
        <w:spacing w:after="0"/>
        <w:ind w:right="113"/>
        <w:jc w:val="both"/>
        <w:textAlignment w:val="baseline"/>
        <w:rPr>
          <w:rFonts w:asciiTheme="minorHAnsi" w:hAnsiTheme="minorHAnsi" w:cstheme="minorHAnsi"/>
          <w:sz w:val="22"/>
          <w:szCs w:val="22"/>
        </w:rPr>
      </w:pPr>
      <w:r w:rsidRPr="00DD15D0">
        <w:rPr>
          <w:rFonts w:asciiTheme="minorHAnsi" w:hAnsiTheme="minorHAnsi" w:cstheme="minorHAnsi"/>
          <w:sz w:val="22"/>
          <w:szCs w:val="22"/>
        </w:rPr>
        <w:t>Regional Psychologists and teams will discuss deployment of psychologists directly with Governors locally, however, the general position is an expectation that psychology staff will attend on-site where there is work to be done which cannot happen remotely, and include potential cross-site work for critical statutory work.  Where remote attendance is a possibility (</w:t>
      </w:r>
      <w:r w:rsidR="00F13F68" w:rsidRPr="00DD15D0">
        <w:rPr>
          <w:rFonts w:asciiTheme="minorHAnsi" w:hAnsiTheme="minorHAnsi" w:cstheme="minorHAnsi"/>
          <w:sz w:val="22"/>
          <w:szCs w:val="22"/>
        </w:rPr>
        <w:t>e.g.</w:t>
      </w:r>
      <w:r w:rsidRPr="00DD15D0">
        <w:rPr>
          <w:rFonts w:asciiTheme="minorHAnsi" w:hAnsiTheme="minorHAnsi" w:cstheme="minorHAnsi"/>
          <w:sz w:val="22"/>
          <w:szCs w:val="22"/>
        </w:rPr>
        <w:t xml:space="preserve"> meeting attendance), the Regional Psychologist will agree the overall position with the Governor to ensure that services are effectively delivered, whilst balancing the risk of increased footfall into the prison.  Psychology teams are regularly deployed in smaller team ‘bubbles’ across a week and we would expect this workforce management to be maintained.  </w:t>
      </w:r>
    </w:p>
    <w:p w14:paraId="65D64846" w14:textId="5C2C6B40" w:rsidR="00DD15D0" w:rsidRPr="00DD15D0" w:rsidRDefault="00DD15D0" w:rsidP="00AC27DC">
      <w:pPr>
        <w:pStyle w:val="paragraph"/>
        <w:tabs>
          <w:tab w:val="left" w:pos="2710"/>
        </w:tabs>
        <w:jc w:val="both"/>
        <w:rPr>
          <w:rFonts w:asciiTheme="minorHAnsi" w:hAnsiTheme="minorHAnsi" w:cstheme="minorHAnsi"/>
          <w:sz w:val="22"/>
          <w:szCs w:val="22"/>
        </w:rPr>
      </w:pPr>
      <w:r w:rsidRPr="00DD15D0">
        <w:rPr>
          <w:rFonts w:asciiTheme="minorHAnsi" w:hAnsiTheme="minorHAnsi" w:cstheme="minorHAnsi"/>
          <w:sz w:val="22"/>
          <w:szCs w:val="22"/>
        </w:rPr>
        <w:t>Offending Behaviour Programmes are a critical element of progression for many prisoners</w:t>
      </w:r>
      <w:r w:rsidR="00E44DBB">
        <w:rPr>
          <w:rFonts w:asciiTheme="minorHAnsi" w:hAnsiTheme="minorHAnsi" w:cstheme="minorHAnsi"/>
          <w:sz w:val="22"/>
          <w:szCs w:val="22"/>
        </w:rPr>
        <w:t xml:space="preserve"> </w:t>
      </w:r>
      <w:r w:rsidR="00E44DBB" w:rsidRPr="002616F8">
        <w:rPr>
          <w:rFonts w:asciiTheme="minorHAnsi" w:hAnsiTheme="minorHAnsi" w:cstheme="minorHAnsi"/>
          <w:sz w:val="22"/>
          <w:szCs w:val="22"/>
        </w:rPr>
        <w:t xml:space="preserve">and </w:t>
      </w:r>
      <w:r w:rsidR="00E44DBB" w:rsidRPr="00DD15D0">
        <w:rPr>
          <w:rFonts w:asciiTheme="minorHAnsi" w:hAnsiTheme="minorHAnsi" w:cstheme="minorHAnsi"/>
          <w:sz w:val="22"/>
          <w:szCs w:val="22"/>
        </w:rPr>
        <w:t>OBP delivery</w:t>
      </w:r>
      <w:r w:rsidR="00E44DBB" w:rsidRPr="002616F8">
        <w:rPr>
          <w:rFonts w:asciiTheme="minorHAnsi" w:hAnsiTheme="minorHAnsi" w:cstheme="minorHAnsi"/>
          <w:sz w:val="22"/>
          <w:szCs w:val="22"/>
        </w:rPr>
        <w:t xml:space="preserve"> remains essential activity</w:t>
      </w:r>
      <w:r w:rsidR="00E44DBB">
        <w:rPr>
          <w:rFonts w:asciiTheme="minorHAnsi" w:hAnsiTheme="minorHAnsi" w:cstheme="minorHAnsi"/>
          <w:sz w:val="22"/>
          <w:szCs w:val="22"/>
        </w:rPr>
        <w:t xml:space="preserve"> which </w:t>
      </w:r>
      <w:r w:rsidR="00E44DBB" w:rsidRPr="00DD15D0">
        <w:rPr>
          <w:rFonts w:asciiTheme="minorHAnsi" w:hAnsiTheme="minorHAnsi" w:cstheme="minorHAnsi"/>
          <w:sz w:val="22"/>
          <w:szCs w:val="22"/>
        </w:rPr>
        <w:t>should be maintained</w:t>
      </w:r>
      <w:r w:rsidR="00E44DBB">
        <w:rPr>
          <w:rFonts w:asciiTheme="minorHAnsi" w:hAnsiTheme="minorHAnsi" w:cstheme="minorHAnsi"/>
          <w:sz w:val="22"/>
          <w:szCs w:val="22"/>
        </w:rPr>
        <w:t xml:space="preserve"> w</w:t>
      </w:r>
      <w:r w:rsidR="00E44DBB" w:rsidRPr="00DD15D0">
        <w:rPr>
          <w:rFonts w:asciiTheme="minorHAnsi" w:hAnsiTheme="minorHAnsi" w:cstheme="minorHAnsi"/>
          <w:sz w:val="22"/>
          <w:szCs w:val="22"/>
        </w:rPr>
        <w:t>here possible.</w:t>
      </w:r>
      <w:r w:rsidR="00E44DBB">
        <w:rPr>
          <w:rFonts w:asciiTheme="minorHAnsi" w:hAnsiTheme="minorHAnsi" w:cstheme="minorHAnsi"/>
          <w:sz w:val="22"/>
          <w:szCs w:val="22"/>
        </w:rPr>
        <w:t xml:space="preserve"> Therefore,</w:t>
      </w:r>
      <w:r w:rsidR="000A4417" w:rsidRPr="002616F8">
        <w:rPr>
          <w:rFonts w:asciiTheme="minorHAnsi" w:hAnsiTheme="minorHAnsi" w:cstheme="minorHAnsi"/>
          <w:sz w:val="22"/>
          <w:szCs w:val="22"/>
        </w:rPr>
        <w:t xml:space="preserve"> facilitators</w:t>
      </w:r>
      <w:r w:rsidR="00FC0B8E" w:rsidRPr="002616F8">
        <w:rPr>
          <w:rFonts w:asciiTheme="minorHAnsi" w:hAnsiTheme="minorHAnsi" w:cstheme="minorHAnsi"/>
          <w:sz w:val="22"/>
          <w:szCs w:val="22"/>
        </w:rPr>
        <w:t xml:space="preserve"> delivering these programmes </w:t>
      </w:r>
      <w:r w:rsidR="00E44DBB">
        <w:rPr>
          <w:rFonts w:asciiTheme="minorHAnsi" w:hAnsiTheme="minorHAnsi" w:cstheme="minorHAnsi"/>
          <w:sz w:val="22"/>
          <w:szCs w:val="22"/>
        </w:rPr>
        <w:t xml:space="preserve">are </w:t>
      </w:r>
      <w:r w:rsidR="000A4417" w:rsidRPr="002616F8">
        <w:rPr>
          <w:rFonts w:asciiTheme="minorHAnsi" w:hAnsiTheme="minorHAnsi" w:cstheme="minorHAnsi"/>
          <w:sz w:val="22"/>
          <w:szCs w:val="22"/>
        </w:rPr>
        <w:t>required to attend work</w:t>
      </w:r>
      <w:r w:rsidRPr="00DD15D0">
        <w:rPr>
          <w:rFonts w:asciiTheme="minorHAnsi" w:hAnsiTheme="minorHAnsi" w:cstheme="minorHAnsi"/>
          <w:sz w:val="22"/>
          <w:szCs w:val="22"/>
        </w:rPr>
        <w:t xml:space="preserve">. </w:t>
      </w:r>
      <w:r w:rsidR="00E44DBB">
        <w:rPr>
          <w:rFonts w:asciiTheme="minorHAnsi" w:hAnsiTheme="minorHAnsi" w:cstheme="minorHAnsi"/>
          <w:sz w:val="22"/>
          <w:szCs w:val="22"/>
        </w:rPr>
        <w:t>It is acknowledged</w:t>
      </w:r>
      <w:r w:rsidRPr="00DD15D0">
        <w:rPr>
          <w:rFonts w:asciiTheme="minorHAnsi" w:hAnsiTheme="minorHAnsi" w:cstheme="minorHAnsi"/>
          <w:sz w:val="22"/>
          <w:szCs w:val="22"/>
        </w:rPr>
        <w:t xml:space="preserve"> that plans to increase provision in larger groups will need to be kept under review.  </w:t>
      </w:r>
      <w:r w:rsidR="006820F0">
        <w:rPr>
          <w:rFonts w:asciiTheme="minorHAnsi" w:hAnsiTheme="minorHAnsi" w:cstheme="minorHAnsi"/>
          <w:sz w:val="22"/>
          <w:szCs w:val="22"/>
        </w:rPr>
        <w:t xml:space="preserve"> </w:t>
      </w:r>
      <w:r w:rsidR="003C5713">
        <w:rPr>
          <w:rFonts w:asciiTheme="minorHAnsi" w:hAnsiTheme="minorHAnsi" w:cstheme="minorHAnsi"/>
          <w:sz w:val="22"/>
          <w:szCs w:val="22"/>
        </w:rPr>
        <w:t xml:space="preserve">Probation staff who require face to face access to prisoners are expected to continue to </w:t>
      </w:r>
      <w:r w:rsidR="009F10D3">
        <w:rPr>
          <w:rFonts w:asciiTheme="minorHAnsi" w:hAnsiTheme="minorHAnsi" w:cstheme="minorHAnsi"/>
          <w:sz w:val="22"/>
          <w:szCs w:val="22"/>
        </w:rPr>
        <w:t>attend prisons when required</w:t>
      </w:r>
      <w:r w:rsidR="002E0D95">
        <w:rPr>
          <w:rFonts w:asciiTheme="minorHAnsi" w:hAnsiTheme="minorHAnsi" w:cstheme="minorHAnsi"/>
          <w:sz w:val="22"/>
          <w:szCs w:val="22"/>
        </w:rPr>
        <w:t xml:space="preserve"> by business need.</w:t>
      </w:r>
    </w:p>
    <w:p w14:paraId="43D82B7F" w14:textId="02D65A07" w:rsidR="00F77A4A" w:rsidRDefault="00F77A4A" w:rsidP="00441B89">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r w:rsidRPr="002616F8">
        <w:rPr>
          <w:rStyle w:val="normaltextrun"/>
          <w:rFonts w:asciiTheme="minorHAnsi" w:hAnsiTheme="minorHAnsi" w:cstheme="minorHAnsi"/>
          <w:sz w:val="22"/>
          <w:szCs w:val="22"/>
        </w:rPr>
        <w:t xml:space="preserve">Essential services such as maintenance, </w:t>
      </w:r>
      <w:r w:rsidR="002616F8" w:rsidRPr="002616F8">
        <w:rPr>
          <w:rStyle w:val="normaltextrun"/>
          <w:rFonts w:asciiTheme="minorHAnsi" w:hAnsiTheme="minorHAnsi" w:cstheme="minorHAnsi"/>
          <w:sz w:val="22"/>
          <w:szCs w:val="22"/>
        </w:rPr>
        <w:t xml:space="preserve">the delivery of </w:t>
      </w:r>
      <w:r w:rsidRPr="002616F8">
        <w:rPr>
          <w:rStyle w:val="normaltextrun"/>
          <w:rFonts w:asciiTheme="minorHAnsi" w:hAnsiTheme="minorHAnsi" w:cstheme="minorHAnsi"/>
          <w:sz w:val="22"/>
          <w:szCs w:val="22"/>
        </w:rPr>
        <w:t xml:space="preserve">new accommodation, the delivery of replacement technology and </w:t>
      </w:r>
      <w:r w:rsidR="002616F8" w:rsidRPr="002616F8">
        <w:rPr>
          <w:rStyle w:val="normaltextrun"/>
          <w:rFonts w:asciiTheme="minorHAnsi" w:hAnsiTheme="minorHAnsi" w:cstheme="minorHAnsi"/>
          <w:sz w:val="22"/>
          <w:szCs w:val="22"/>
        </w:rPr>
        <w:t>work to support the operation of prisons must of course continue onsite as required.</w:t>
      </w:r>
      <w:r w:rsidR="00C038A7">
        <w:rPr>
          <w:rStyle w:val="normaltextrun"/>
          <w:rFonts w:asciiTheme="minorHAnsi" w:hAnsiTheme="minorHAnsi" w:cstheme="minorHAnsi"/>
          <w:sz w:val="22"/>
          <w:szCs w:val="22"/>
        </w:rPr>
        <w:t xml:space="preserve">  Again, the determination made in permitting entry to the prison is based on whether the work required is essential, meets a business need and cannot be completely remotely.</w:t>
      </w:r>
    </w:p>
    <w:p w14:paraId="74487FCD" w14:textId="0C3AF6C3" w:rsidR="00653417" w:rsidRDefault="00653417" w:rsidP="00441B89">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p>
    <w:p w14:paraId="3EC8FBB9" w14:textId="1A3F89C1" w:rsidR="00DF1FC2" w:rsidRPr="00DC78A0" w:rsidRDefault="00DF1FC2" w:rsidP="00DF1FC2">
      <w:pPr>
        <w:spacing w:after="0"/>
        <w:jc w:val="both"/>
        <w:rPr>
          <w:rFonts w:eastAsia="Times New Roman" w:cstheme="minorHAnsi"/>
          <w:lang w:eastAsia="en-GB"/>
        </w:rPr>
      </w:pPr>
      <w:r w:rsidRPr="00DC78A0">
        <w:rPr>
          <w:rFonts w:eastAsia="Times New Roman" w:cstheme="minorHAnsi"/>
          <w:lang w:eastAsia="en-GB"/>
        </w:rPr>
        <w:t>Finance</w:t>
      </w:r>
      <w:r>
        <w:rPr>
          <w:rFonts w:eastAsia="Times New Roman" w:cstheme="minorHAnsi"/>
          <w:lang w:eastAsia="en-GB"/>
        </w:rPr>
        <w:t xml:space="preserve"> and HR</w:t>
      </w:r>
      <w:r w:rsidRPr="00DC78A0">
        <w:rPr>
          <w:rFonts w:eastAsia="Times New Roman" w:cstheme="minorHAnsi"/>
          <w:lang w:eastAsia="en-GB"/>
        </w:rPr>
        <w:t xml:space="preserve"> Business Partners </w:t>
      </w:r>
      <w:r>
        <w:rPr>
          <w:rFonts w:eastAsia="Times New Roman" w:cstheme="minorHAnsi"/>
          <w:lang w:eastAsia="en-GB"/>
        </w:rPr>
        <w:t>will</w:t>
      </w:r>
      <w:r w:rsidRPr="00DC78A0">
        <w:rPr>
          <w:rFonts w:eastAsia="Times New Roman" w:cstheme="minorHAnsi"/>
          <w:lang w:eastAsia="en-GB"/>
        </w:rPr>
        <w:t xml:space="preserve"> provide a remote service, working from home, unless there is a significant business requirement for them to attend </w:t>
      </w:r>
      <w:r>
        <w:rPr>
          <w:rFonts w:eastAsia="Times New Roman" w:cstheme="minorHAnsi"/>
          <w:lang w:eastAsia="en-GB"/>
        </w:rPr>
        <w:t xml:space="preserve">on site </w:t>
      </w:r>
      <w:r w:rsidRPr="00DC78A0">
        <w:rPr>
          <w:rFonts w:eastAsia="Times New Roman" w:cstheme="minorHAnsi"/>
          <w:lang w:eastAsia="en-GB"/>
        </w:rPr>
        <w:t xml:space="preserve">and should minimise the amount of cross </w:t>
      </w:r>
      <w:r w:rsidRPr="00DC78A0">
        <w:rPr>
          <w:rFonts w:eastAsia="Times New Roman" w:cstheme="minorHAnsi"/>
          <w:lang w:eastAsia="en-GB"/>
        </w:rPr>
        <w:lastRenderedPageBreak/>
        <w:t>site working that is undertaken in person.  FBP</w:t>
      </w:r>
      <w:r>
        <w:rPr>
          <w:rFonts w:eastAsia="Times New Roman" w:cstheme="minorHAnsi"/>
          <w:lang w:eastAsia="en-GB"/>
        </w:rPr>
        <w:t>/HRBP</w:t>
      </w:r>
      <w:r w:rsidRPr="00DC78A0">
        <w:rPr>
          <w:rFonts w:eastAsia="Times New Roman" w:cstheme="minorHAnsi"/>
          <w:lang w:eastAsia="en-GB"/>
        </w:rPr>
        <w:t>s remain contactable via MS Teams, emails and telephone.</w:t>
      </w:r>
    </w:p>
    <w:p w14:paraId="4D195B2D" w14:textId="13DC9E4D" w:rsidR="00653417" w:rsidRDefault="00653417" w:rsidP="00441B89">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PGD teams and those from certain headquarters </w:t>
      </w:r>
      <w:r w:rsidR="00A81E31">
        <w:rPr>
          <w:rStyle w:val="normaltextrun"/>
          <w:rFonts w:asciiTheme="minorHAnsi" w:hAnsiTheme="minorHAnsi" w:cstheme="minorHAnsi"/>
          <w:sz w:val="22"/>
          <w:szCs w:val="22"/>
        </w:rPr>
        <w:t>functions</w:t>
      </w:r>
      <w:r>
        <w:rPr>
          <w:rStyle w:val="normaltextrun"/>
          <w:rFonts w:asciiTheme="minorHAnsi" w:hAnsiTheme="minorHAnsi" w:cstheme="minorHAnsi"/>
          <w:sz w:val="22"/>
          <w:szCs w:val="22"/>
        </w:rPr>
        <w:t xml:space="preserve"> determined as essential by senior leaders will continue to need to access prisons where necessary, subject to ongoing assessments of risk.</w:t>
      </w:r>
      <w:r w:rsidR="00A81E31">
        <w:rPr>
          <w:rStyle w:val="normaltextrun"/>
          <w:rFonts w:asciiTheme="minorHAnsi" w:hAnsiTheme="minorHAnsi" w:cstheme="minorHAnsi"/>
          <w:sz w:val="22"/>
          <w:szCs w:val="22"/>
        </w:rPr>
        <w:t xml:space="preserve">  </w:t>
      </w:r>
    </w:p>
    <w:p w14:paraId="11B19EA8" w14:textId="77777777" w:rsidR="000719D2" w:rsidRDefault="000719D2" w:rsidP="002D3C05">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p>
    <w:p w14:paraId="3FBDD34B" w14:textId="31E6B9D0" w:rsidR="00BE5088" w:rsidRPr="00C31C53" w:rsidRDefault="00787A32" w:rsidP="002E0D95">
      <w:pPr>
        <w:spacing w:after="0"/>
        <w:jc w:val="both"/>
        <w:rPr>
          <w:rFonts w:eastAsia="Times New Roman" w:cstheme="minorHAnsi"/>
          <w:lang w:eastAsia="en-GB"/>
        </w:rPr>
      </w:pPr>
      <w:r>
        <w:rPr>
          <w:rStyle w:val="normaltextrun"/>
          <w:rFonts w:eastAsia="Times New Roman" w:cstheme="minorHAnsi"/>
          <w:lang w:eastAsia="en-GB"/>
        </w:rPr>
        <w:t xml:space="preserve">In addition, </w:t>
      </w:r>
      <w:r w:rsidR="003E1546">
        <w:rPr>
          <w:rStyle w:val="normaltextrun"/>
          <w:rFonts w:eastAsia="Times New Roman" w:cstheme="minorHAnsi"/>
          <w:lang w:eastAsia="en-GB"/>
        </w:rPr>
        <w:t xml:space="preserve">we </w:t>
      </w:r>
      <w:r>
        <w:rPr>
          <w:rStyle w:val="normaltextrun"/>
          <w:rFonts w:eastAsia="Times New Roman" w:cstheme="minorHAnsi"/>
          <w:lang w:eastAsia="en-GB"/>
        </w:rPr>
        <w:t xml:space="preserve">continue to review our controls </w:t>
      </w:r>
      <w:r w:rsidR="000A4C98">
        <w:rPr>
          <w:rStyle w:val="normaltextrun"/>
          <w:rFonts w:eastAsia="Times New Roman" w:cstheme="minorHAnsi"/>
          <w:lang w:eastAsia="en-GB"/>
        </w:rPr>
        <w:t xml:space="preserve">around additional footfall through face to face </w:t>
      </w:r>
      <w:r w:rsidR="000A4C98" w:rsidRPr="00C31C53">
        <w:rPr>
          <w:rStyle w:val="normaltextrun"/>
          <w:rFonts w:eastAsia="Times New Roman" w:cstheme="minorHAnsi"/>
          <w:b/>
          <w:bCs/>
          <w:lang w:eastAsia="en-GB"/>
        </w:rPr>
        <w:t>social visits</w:t>
      </w:r>
      <w:r w:rsidR="000A4C98">
        <w:rPr>
          <w:rStyle w:val="normaltextrun"/>
          <w:rFonts w:eastAsia="Times New Roman" w:cstheme="minorHAnsi"/>
          <w:lang w:eastAsia="en-GB"/>
        </w:rPr>
        <w:t xml:space="preserve"> and how we can strengthen </w:t>
      </w:r>
      <w:r w:rsidR="00427FBD">
        <w:rPr>
          <w:rStyle w:val="normaltextrun"/>
          <w:rFonts w:eastAsia="Times New Roman" w:cstheme="minorHAnsi"/>
          <w:lang w:eastAsia="en-GB"/>
        </w:rPr>
        <w:t xml:space="preserve">these arrangements.  Outbreak </w:t>
      </w:r>
      <w:r w:rsidR="00BE5088">
        <w:rPr>
          <w:rStyle w:val="normaltextrun"/>
          <w:rFonts w:eastAsia="Times New Roman" w:cstheme="minorHAnsi"/>
          <w:lang w:eastAsia="en-GB"/>
        </w:rPr>
        <w:t>responses have required visitors to not only submit a negative LFD test for contact but also for entry to the prison.  We are reviewing the extension of these arrangements and will communicate the outcome in due course.</w:t>
      </w:r>
      <w:r w:rsidR="00C31C53">
        <w:rPr>
          <w:rStyle w:val="normaltextrun"/>
          <w:rFonts w:eastAsia="Times New Roman" w:cstheme="minorHAnsi"/>
          <w:lang w:eastAsia="en-GB"/>
        </w:rPr>
        <w:t xml:space="preserve">  Similarly, we are keeping under close review additional footfall that is generated through </w:t>
      </w:r>
      <w:r w:rsidR="00C31C53" w:rsidRPr="00C31C53">
        <w:rPr>
          <w:rStyle w:val="normaltextrun"/>
          <w:rFonts w:eastAsia="Times New Roman" w:cstheme="minorHAnsi"/>
          <w:b/>
          <w:bCs/>
          <w:lang w:eastAsia="en-GB"/>
        </w:rPr>
        <w:t>ROTL</w:t>
      </w:r>
      <w:r w:rsidR="00C31C53">
        <w:rPr>
          <w:rStyle w:val="normaltextrun"/>
          <w:rFonts w:eastAsia="Times New Roman" w:cstheme="minorHAnsi"/>
          <w:lang w:eastAsia="en-GB"/>
        </w:rPr>
        <w:t xml:space="preserve"> movements and whether any further action is required to reduce potential risks.</w:t>
      </w:r>
    </w:p>
    <w:p w14:paraId="7BF18C0A" w14:textId="77777777" w:rsidR="002616F8" w:rsidRDefault="002616F8" w:rsidP="00EA6EAF">
      <w:pPr>
        <w:pStyle w:val="paragraph"/>
        <w:spacing w:before="0" w:beforeAutospacing="0" w:after="0" w:afterAutospacing="0"/>
        <w:ind w:right="113"/>
        <w:jc w:val="both"/>
        <w:textAlignment w:val="baseline"/>
        <w:rPr>
          <w:rStyle w:val="normaltextrun"/>
          <w:rFonts w:asciiTheme="minorHAnsi" w:hAnsiTheme="minorHAnsi" w:cstheme="minorBidi"/>
          <w:sz w:val="22"/>
          <w:szCs w:val="22"/>
        </w:rPr>
      </w:pPr>
    </w:p>
    <w:p w14:paraId="2F8CC678" w14:textId="77777777" w:rsidR="00BB39F9" w:rsidRDefault="00BB39F9" w:rsidP="002D3C05">
      <w:pPr>
        <w:spacing w:after="0"/>
        <w:jc w:val="both"/>
        <w:rPr>
          <w:b/>
          <w:bCs/>
        </w:rPr>
      </w:pPr>
      <w:r>
        <w:rPr>
          <w:b/>
          <w:bCs/>
        </w:rPr>
        <w:t>Planning for an increase in illness and potential hospitalisations:</w:t>
      </w:r>
    </w:p>
    <w:p w14:paraId="1E78EDA0" w14:textId="43227590" w:rsidR="00D01995" w:rsidRDefault="002D3C05" w:rsidP="002D3C05">
      <w:pPr>
        <w:spacing w:after="0"/>
        <w:jc w:val="both"/>
      </w:pPr>
      <w:r>
        <w:t xml:space="preserve">We should anticipate a rise in ill health and hospitalisations as the wave of infection rises.  </w:t>
      </w:r>
      <w:r w:rsidR="00BB39F9">
        <w:t>Oximeters have been successfully utilised during the pandemic</w:t>
      </w:r>
      <w:r>
        <w:t xml:space="preserve"> and a</w:t>
      </w:r>
      <w:r w:rsidR="00F75A50">
        <w:t>dditional</w:t>
      </w:r>
      <w:r w:rsidR="00BB39F9">
        <w:t xml:space="preserve"> guidance w</w:t>
      </w:r>
      <w:r w:rsidR="00F75A50">
        <w:t>as</w:t>
      </w:r>
      <w:r w:rsidR="00BB39F9">
        <w:t xml:space="preserve"> made available to Health Care providers last year on the use in prison of various oxygen therapies. Prisons should </w:t>
      </w:r>
      <w:r w:rsidR="00BB39F9" w:rsidRPr="002D3C05">
        <w:t xml:space="preserve">check for any update on these interventions </w:t>
      </w:r>
      <w:r w:rsidR="00BB39F9">
        <w:t>with Health Care providers to ensure adequate stocks of oximeters are in place and steps have been taken to provide oxygen therapy where able. Where stocks are required, these should be ordered.</w:t>
      </w:r>
      <w:r w:rsidR="00D01995">
        <w:t xml:space="preserve"> </w:t>
      </w:r>
      <w:r w:rsidR="008B5DA9">
        <w:t xml:space="preserve">The additional guidance is available </w:t>
      </w:r>
      <w:hyperlink r:id="rId13" w:history="1">
        <w:r w:rsidR="008B5DA9">
          <w:rPr>
            <w:rStyle w:val="Hyperlink"/>
          </w:rPr>
          <w:t>here</w:t>
        </w:r>
      </w:hyperlink>
      <w:r w:rsidR="008B5DA9">
        <w:t>.</w:t>
      </w:r>
    </w:p>
    <w:p w14:paraId="72D6DABD" w14:textId="77777777" w:rsidR="002D3C05" w:rsidRDefault="002D3C05" w:rsidP="002D3C05">
      <w:pPr>
        <w:spacing w:after="0"/>
        <w:jc w:val="both"/>
      </w:pPr>
    </w:p>
    <w:p w14:paraId="719EA08E" w14:textId="2C3F558C" w:rsidR="00BB39F9" w:rsidRDefault="00BB39F9" w:rsidP="002D3C05">
      <w:pPr>
        <w:jc w:val="both"/>
      </w:pPr>
      <w:r>
        <w:t xml:space="preserve">Prisons should check </w:t>
      </w:r>
      <w:r w:rsidR="002D3C05">
        <w:t>they have</w:t>
      </w:r>
      <w:r>
        <w:t xml:space="preserve"> </w:t>
      </w:r>
      <w:r w:rsidR="002E0D95">
        <w:t>enough</w:t>
      </w:r>
      <w:r>
        <w:t xml:space="preserve"> trained staff to deploy with FFP/BP-RPE </w:t>
      </w:r>
      <w:r w:rsidR="002D3C05">
        <w:t xml:space="preserve">for </w:t>
      </w:r>
      <w:r>
        <w:t xml:space="preserve">any </w:t>
      </w:r>
      <w:r w:rsidR="002D3C05">
        <w:t xml:space="preserve">increased </w:t>
      </w:r>
      <w:r>
        <w:t xml:space="preserve">COVID </w:t>
      </w:r>
      <w:r w:rsidR="002D3C05">
        <w:t>positive</w:t>
      </w:r>
      <w:r>
        <w:t xml:space="preserve"> bed watches. This should review existing trained numbers </w:t>
      </w:r>
      <w:r w:rsidR="002D3C05">
        <w:t>considering staff leavers.</w:t>
      </w:r>
      <w:r>
        <w:t xml:space="preserve"> Prisons should consider a worst-case scenario of potential hospital escorts and schedule immediate training for FFP/BP-RPE where current training figures would not sustain a predicted need. Training should be arranged via the local health &amp; safety teams.</w:t>
      </w:r>
    </w:p>
    <w:p w14:paraId="58820747" w14:textId="30714CD4" w:rsidR="006C137D" w:rsidRDefault="00C14A0F" w:rsidP="00BF6947">
      <w:pPr>
        <w:spacing w:after="0"/>
        <w:jc w:val="both"/>
      </w:pPr>
      <w:r>
        <w:t>It is imperative that we maintain or increase our controls around the most vulnerable prisoners in our custody</w:t>
      </w:r>
      <w:r w:rsidR="00C31C53">
        <w:t xml:space="preserve"> to prevent serious ill health</w:t>
      </w:r>
      <w:r>
        <w:t>.  The co</w:t>
      </w:r>
      <w:r w:rsidR="00181E62">
        <w:t xml:space="preserve">ntinued provision of shielding </w:t>
      </w:r>
      <w:r w:rsidR="00312B0C">
        <w:t xml:space="preserve">as per the current v6 compartmentalisation guidance </w:t>
      </w:r>
      <w:r w:rsidR="00181E62">
        <w:t xml:space="preserve">is important and we should reduce cross contamination and high levels of </w:t>
      </w:r>
      <w:r w:rsidR="005736FE">
        <w:t xml:space="preserve">contacts with these prisoners who are </w:t>
      </w:r>
      <w:r w:rsidR="00312B0C">
        <w:t>of the highest vulnerability</w:t>
      </w:r>
      <w:r w:rsidR="005736FE">
        <w:t>.</w:t>
      </w:r>
      <w:r w:rsidR="00C31C53">
        <w:t xml:space="preserve">  </w:t>
      </w:r>
      <w:r w:rsidR="00BF6947">
        <w:t>T</w:t>
      </w:r>
      <w:r w:rsidR="00C31C53">
        <w:t>he provision of</w:t>
      </w:r>
      <w:r w:rsidR="00D86B11">
        <w:t xml:space="preserve"> the vaccine </w:t>
      </w:r>
      <w:r w:rsidR="00BF6947">
        <w:t xml:space="preserve">(specifically including the booster dose) </w:t>
      </w:r>
      <w:r w:rsidR="00C31C53">
        <w:t>remains</w:t>
      </w:r>
      <w:r w:rsidR="00D86B11">
        <w:t xml:space="preserve"> central </w:t>
      </w:r>
      <w:r w:rsidR="00BF6947">
        <w:t>to reducing the most serious risks.</w:t>
      </w:r>
    </w:p>
    <w:p w14:paraId="059D213C" w14:textId="77777777" w:rsidR="00BF6947" w:rsidRDefault="00BF6947" w:rsidP="00BF6947">
      <w:pPr>
        <w:spacing w:after="0"/>
        <w:jc w:val="both"/>
      </w:pPr>
    </w:p>
    <w:p w14:paraId="56918035" w14:textId="77777777" w:rsidR="002D3C05" w:rsidRDefault="002D3C05" w:rsidP="00BF694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Other actions:</w:t>
      </w:r>
    </w:p>
    <w:p w14:paraId="0D2A1A0C" w14:textId="48A0E038" w:rsidR="002D3C05" w:rsidRPr="008B5DA9" w:rsidRDefault="002D3C05" w:rsidP="008B5DA9">
      <w:pPr>
        <w:pStyle w:val="paragraph"/>
        <w:spacing w:before="0" w:beforeAutospacing="0" w:after="0" w:afterAutospacing="0"/>
        <w:ind w:right="113"/>
        <w:jc w:val="both"/>
        <w:textAlignment w:val="baseline"/>
        <w:rPr>
          <w:rFonts w:asciiTheme="minorHAnsi" w:hAnsiTheme="minorHAnsi" w:cstheme="minorHAnsi"/>
          <w:sz w:val="22"/>
          <w:szCs w:val="22"/>
        </w:rPr>
      </w:pPr>
      <w:r w:rsidRPr="00D6612B">
        <w:rPr>
          <w:rStyle w:val="normaltextrun"/>
          <w:rFonts w:asciiTheme="minorHAnsi" w:hAnsiTheme="minorHAnsi" w:cstheme="minorHAnsi"/>
          <w:sz w:val="22"/>
          <w:szCs w:val="22"/>
        </w:rPr>
        <w:t>The Gold Brief of 9</w:t>
      </w:r>
      <w:r w:rsidRPr="00441B89">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xml:space="preserve"> </w:t>
      </w:r>
      <w:r w:rsidRPr="00D6612B">
        <w:rPr>
          <w:rStyle w:val="normaltextrun"/>
          <w:rFonts w:asciiTheme="minorHAnsi" w:hAnsiTheme="minorHAnsi" w:cstheme="minorHAnsi"/>
          <w:sz w:val="22"/>
          <w:szCs w:val="22"/>
        </w:rPr>
        <w:t xml:space="preserve">December </w:t>
      </w:r>
      <w:r>
        <w:rPr>
          <w:rStyle w:val="normaltextrun"/>
          <w:rFonts w:asciiTheme="minorHAnsi" w:hAnsiTheme="minorHAnsi" w:cstheme="minorHAnsi"/>
          <w:sz w:val="22"/>
          <w:szCs w:val="22"/>
        </w:rPr>
        <w:t>and associated</w:t>
      </w:r>
      <w:r w:rsidRPr="00D6612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linked </w:t>
      </w:r>
      <w:r w:rsidRPr="00D6612B">
        <w:rPr>
          <w:rStyle w:val="normaltextrun"/>
          <w:rFonts w:asciiTheme="minorHAnsi" w:hAnsiTheme="minorHAnsi" w:cstheme="minorHAnsi"/>
          <w:sz w:val="22"/>
          <w:szCs w:val="22"/>
        </w:rPr>
        <w:t xml:space="preserve">guidance </w:t>
      </w:r>
      <w:r>
        <w:rPr>
          <w:rStyle w:val="normaltextrun"/>
          <w:rFonts w:asciiTheme="minorHAnsi" w:hAnsiTheme="minorHAnsi" w:cstheme="minorHAnsi"/>
          <w:sz w:val="22"/>
          <w:szCs w:val="22"/>
        </w:rPr>
        <w:t xml:space="preserve">detailed </w:t>
      </w:r>
      <w:r w:rsidRPr="00D6612B">
        <w:rPr>
          <w:rStyle w:val="normaltextrun"/>
          <w:rFonts w:asciiTheme="minorHAnsi" w:hAnsiTheme="minorHAnsi" w:cstheme="minorHAnsi"/>
          <w:sz w:val="22"/>
          <w:szCs w:val="22"/>
        </w:rPr>
        <w:t>all other actions that should be taken at this time</w:t>
      </w:r>
      <w:r>
        <w:rPr>
          <w:rStyle w:val="normaltextrun"/>
          <w:rFonts w:asciiTheme="minorHAnsi" w:hAnsiTheme="minorHAnsi" w:cstheme="minorHAnsi"/>
          <w:sz w:val="22"/>
          <w:szCs w:val="22"/>
        </w:rPr>
        <w:t xml:space="preserve"> and provides guidance to inform safe operating </w:t>
      </w:r>
      <w:r w:rsidRPr="009C69CF">
        <w:rPr>
          <w:rStyle w:val="normaltextrun"/>
          <w:rFonts w:asciiTheme="minorHAnsi" w:hAnsiTheme="minorHAnsi" w:cstheme="minorHAnsi"/>
          <w:sz w:val="22"/>
          <w:szCs w:val="22"/>
        </w:rPr>
        <w:t xml:space="preserve">practices locally in areas such as </w:t>
      </w:r>
      <w:r w:rsidRPr="009C69CF">
        <w:rPr>
          <w:rFonts w:asciiTheme="minorHAnsi" w:hAnsiTheme="minorHAnsi" w:cstheme="minorHAnsi"/>
          <w:sz w:val="22"/>
          <w:szCs w:val="22"/>
        </w:rPr>
        <w:t>handwashing, cleaning, testing and vaccinations:</w:t>
      </w:r>
      <w:r w:rsidR="008B5DA9">
        <w:rPr>
          <w:rFonts w:asciiTheme="minorHAnsi" w:hAnsiTheme="minorHAnsi" w:cstheme="minorHAnsi"/>
          <w:sz w:val="22"/>
          <w:szCs w:val="22"/>
        </w:rPr>
        <w:t xml:space="preserve"> </w:t>
      </w:r>
      <w:hyperlink r:id="rId14" w:history="1">
        <w:r w:rsidR="008B5DA9">
          <w:rPr>
            <w:rStyle w:val="Hyperlink"/>
            <w:rFonts w:asciiTheme="minorHAnsi" w:hAnsiTheme="minorHAnsi" w:cstheme="minorHAnsi"/>
          </w:rPr>
          <w:t>Plan B and Winter Guidance</w:t>
        </w:r>
      </w:hyperlink>
    </w:p>
    <w:p w14:paraId="32491ACD" w14:textId="77777777" w:rsidR="008B5DA9" w:rsidRPr="008B5DA9" w:rsidRDefault="008B5DA9" w:rsidP="008B5DA9">
      <w:pPr>
        <w:pStyle w:val="paragraph"/>
        <w:spacing w:before="0" w:beforeAutospacing="0" w:after="0" w:afterAutospacing="0"/>
        <w:ind w:right="113"/>
        <w:textAlignment w:val="baseline"/>
        <w:rPr>
          <w:rStyle w:val="normaltextrun"/>
          <w:rFonts w:asciiTheme="minorHAnsi" w:hAnsiTheme="minorHAnsi" w:cstheme="minorHAnsi"/>
          <w:b/>
          <w:bCs/>
          <w:sz w:val="22"/>
          <w:szCs w:val="22"/>
        </w:rPr>
      </w:pPr>
    </w:p>
    <w:p w14:paraId="2335FE93" w14:textId="77777777" w:rsidR="002D3C05" w:rsidRDefault="002D3C05" w:rsidP="002D3C05">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Additionally, it is expected that all establishments will have reviewed their face mask and face covering strategies and have mandated </w:t>
      </w:r>
      <w:r w:rsidRPr="00441B89">
        <w:rPr>
          <w:rStyle w:val="normaltextrun"/>
          <w:rFonts w:asciiTheme="minorHAnsi" w:hAnsiTheme="minorHAnsi" w:cstheme="minorHAnsi"/>
          <w:b/>
          <w:bCs/>
          <w:sz w:val="22"/>
          <w:szCs w:val="22"/>
        </w:rPr>
        <w:t>routine usage of face protection</w:t>
      </w:r>
      <w:r>
        <w:rPr>
          <w:rStyle w:val="normaltextrun"/>
          <w:rFonts w:asciiTheme="minorHAnsi" w:hAnsiTheme="minorHAnsi" w:cstheme="minorHAnsi"/>
          <w:sz w:val="22"/>
          <w:szCs w:val="22"/>
        </w:rPr>
        <w:t xml:space="preserve"> across their establishments. This should be in line with the agreed guidance. </w:t>
      </w:r>
    </w:p>
    <w:p w14:paraId="69741A6D" w14:textId="77777777" w:rsidR="002D3C05" w:rsidRDefault="002D3C05" w:rsidP="002D3C05">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bookmarkStart w:id="0" w:name="_GoBack"/>
      <w:bookmarkEnd w:id="0"/>
    </w:p>
    <w:p w14:paraId="2626BD50" w14:textId="77777777" w:rsidR="002D3C05" w:rsidRDefault="002D3C05" w:rsidP="002D3C05">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Similarly, all establishments should actively review their </w:t>
      </w:r>
      <w:r w:rsidRPr="00441B89">
        <w:rPr>
          <w:rStyle w:val="normaltextrun"/>
          <w:rFonts w:asciiTheme="minorHAnsi" w:hAnsiTheme="minorHAnsi" w:cstheme="minorHAnsi"/>
          <w:b/>
          <w:bCs/>
          <w:sz w:val="22"/>
          <w:szCs w:val="22"/>
        </w:rPr>
        <w:t>ventilation</w:t>
      </w:r>
      <w:r>
        <w:rPr>
          <w:rStyle w:val="normaltextrun"/>
          <w:rFonts w:asciiTheme="minorHAnsi" w:hAnsiTheme="minorHAnsi" w:cstheme="minorHAnsi"/>
          <w:sz w:val="22"/>
          <w:szCs w:val="22"/>
        </w:rPr>
        <w:t xml:space="preserve"> options in line with the guidance available </w:t>
      </w:r>
      <w:hyperlink r:id="rId15" w:history="1">
        <w:r w:rsidRPr="00441B89">
          <w:rPr>
            <w:rStyle w:val="Hyperlink"/>
            <w:rFonts w:asciiTheme="minorHAnsi" w:hAnsiTheme="minorHAnsi" w:cstheme="minorHAnsi"/>
            <w:sz w:val="22"/>
            <w:szCs w:val="22"/>
          </w:rPr>
          <w:t>here</w:t>
        </w:r>
      </w:hyperlink>
      <w:r>
        <w:rPr>
          <w:rStyle w:val="normaltextrun"/>
          <w:rFonts w:asciiTheme="minorHAnsi" w:hAnsiTheme="minorHAnsi" w:cstheme="minorHAnsi"/>
          <w:sz w:val="22"/>
          <w:szCs w:val="22"/>
        </w:rPr>
        <w:t xml:space="preserve">. </w:t>
      </w:r>
    </w:p>
    <w:p w14:paraId="44ECEC64" w14:textId="77777777" w:rsidR="00BB39F9" w:rsidRPr="002D3C05" w:rsidRDefault="00BB39F9" w:rsidP="00D6612B">
      <w:pPr>
        <w:pStyle w:val="paragraph"/>
        <w:spacing w:before="0" w:beforeAutospacing="0" w:after="0" w:afterAutospacing="0"/>
        <w:ind w:right="113"/>
        <w:jc w:val="both"/>
        <w:textAlignment w:val="baseline"/>
        <w:rPr>
          <w:rStyle w:val="normaltextrun"/>
          <w:rFonts w:asciiTheme="minorHAnsi" w:hAnsiTheme="minorHAnsi" w:cstheme="minorHAnsi"/>
          <w:sz w:val="22"/>
          <w:szCs w:val="22"/>
        </w:rPr>
      </w:pPr>
    </w:p>
    <w:p w14:paraId="438EF76F" w14:textId="77777777" w:rsidR="00D6612B" w:rsidRDefault="00702057" w:rsidP="00D6612B">
      <w:pPr>
        <w:pStyle w:val="paragraph"/>
        <w:spacing w:before="0" w:beforeAutospacing="0" w:after="0" w:afterAutospacing="0"/>
        <w:ind w:right="113"/>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Please submit any queries regarding this guidance to:</w:t>
      </w:r>
    </w:p>
    <w:p w14:paraId="6D2DACD9" w14:textId="22BFFF78" w:rsidR="00702057" w:rsidRDefault="003E1546" w:rsidP="00D6612B">
      <w:pPr>
        <w:pStyle w:val="paragraph"/>
        <w:spacing w:before="0" w:beforeAutospacing="0" w:after="0" w:afterAutospacing="0"/>
        <w:ind w:right="113"/>
        <w:jc w:val="both"/>
        <w:textAlignment w:val="baseline"/>
        <w:rPr>
          <w:rStyle w:val="normaltextrun"/>
          <w:rFonts w:asciiTheme="minorHAnsi" w:hAnsiTheme="minorHAnsi" w:cstheme="minorHAnsi"/>
          <w:b/>
          <w:bCs/>
          <w:sz w:val="22"/>
          <w:szCs w:val="22"/>
        </w:rPr>
      </w:pPr>
      <w:hyperlink r:id="rId16" w:history="1">
        <w:r w:rsidR="001E4DB2" w:rsidRPr="00B05B62">
          <w:rPr>
            <w:rStyle w:val="Hyperlink"/>
            <w:rFonts w:asciiTheme="minorHAnsi" w:hAnsiTheme="minorHAnsi" w:cstheme="minorHAnsi"/>
            <w:b/>
            <w:bCs/>
            <w:sz w:val="22"/>
            <w:szCs w:val="22"/>
          </w:rPr>
          <w:t>COVID19.RegimesAndOpsGuidance@justice.gov.uk</w:t>
        </w:r>
      </w:hyperlink>
    </w:p>
    <w:p w14:paraId="500E1854" w14:textId="77777777" w:rsidR="001E4DB2" w:rsidRDefault="001E4DB2" w:rsidP="00D6612B">
      <w:pPr>
        <w:pStyle w:val="paragraph"/>
        <w:spacing w:before="0" w:beforeAutospacing="0" w:after="0" w:afterAutospacing="0"/>
        <w:ind w:right="113"/>
        <w:jc w:val="both"/>
        <w:textAlignment w:val="baseline"/>
        <w:rPr>
          <w:rStyle w:val="normaltextrun"/>
          <w:rFonts w:asciiTheme="minorHAnsi" w:hAnsiTheme="minorHAnsi" w:cstheme="minorHAnsi"/>
          <w:b/>
          <w:bCs/>
          <w:sz w:val="22"/>
          <w:szCs w:val="22"/>
        </w:rPr>
      </w:pPr>
    </w:p>
    <w:p w14:paraId="5EDD3287" w14:textId="6CB779CE" w:rsidR="005C0BBC" w:rsidRPr="005C0BBC" w:rsidRDefault="005C0BBC" w:rsidP="00937473">
      <w:pPr>
        <w:spacing w:after="0" w:line="240" w:lineRule="auto"/>
        <w:ind w:left="57" w:right="113"/>
        <w:rPr>
          <w:b/>
          <w:bCs/>
        </w:rPr>
      </w:pPr>
      <w:r w:rsidRPr="005C0BBC">
        <w:rPr>
          <w:b/>
          <w:bCs/>
        </w:rPr>
        <w:t xml:space="preserve">COVID -19 GOLD COMMAND </w:t>
      </w:r>
    </w:p>
    <w:p w14:paraId="772B90FC" w14:textId="5F0AF6DF" w:rsidR="005C0BBC" w:rsidRPr="005C0BBC" w:rsidRDefault="005C0BBC" w:rsidP="00937473">
      <w:pPr>
        <w:spacing w:after="0" w:line="240" w:lineRule="auto"/>
        <w:ind w:left="57" w:right="113"/>
        <w:rPr>
          <w:b/>
          <w:bCs/>
        </w:rPr>
      </w:pPr>
      <w:r w:rsidRPr="005C0BBC">
        <w:rPr>
          <w:b/>
          <w:bCs/>
        </w:rPr>
        <w:t>1</w:t>
      </w:r>
      <w:r w:rsidR="000905A8">
        <w:rPr>
          <w:b/>
          <w:bCs/>
        </w:rPr>
        <w:t>4</w:t>
      </w:r>
      <w:r w:rsidRPr="005C0BBC">
        <w:rPr>
          <w:b/>
          <w:bCs/>
        </w:rPr>
        <w:t>/12/21</w:t>
      </w:r>
    </w:p>
    <w:p w14:paraId="05EC9D47" w14:textId="615A6CA1" w:rsidR="00561DE8" w:rsidRDefault="00561DE8" w:rsidP="00937473">
      <w:pPr>
        <w:spacing w:after="0" w:line="240" w:lineRule="auto"/>
        <w:ind w:left="57" w:right="113"/>
      </w:pPr>
    </w:p>
    <w:sectPr w:rsidR="00561DE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0E9AB" w16cex:dateUtc="2021-12-12T21:35:00Z"/>
  <w16cex:commentExtensible w16cex:durableId="25607E3D" w16cex:dateUtc="2021-12-12T13:57:00Z"/>
  <w16cex:commentExtensible w16cex:durableId="2560EA81" w16cex:dateUtc="2021-12-12T21:39:00Z"/>
  <w16cex:commentExtensible w16cex:durableId="25607E78" w16cex:dateUtc="2021-12-12T13:58:00Z"/>
  <w16cex:commentExtensible w16cex:durableId="2560EAE7" w16cex:dateUtc="2021-12-12T21:40:00Z"/>
  <w16cex:commentExtensible w16cex:durableId="25607F45" w16cex:dateUtc="2021-12-12T14:01:00Z"/>
  <w16cex:commentExtensible w16cex:durableId="2560F106" w16cex:dateUtc="2021-12-12T22: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D06"/>
    <w:multiLevelType w:val="hybridMultilevel"/>
    <w:tmpl w:val="58D2F498"/>
    <w:lvl w:ilvl="0" w:tplc="F6584A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E72D4"/>
    <w:multiLevelType w:val="hybridMultilevel"/>
    <w:tmpl w:val="327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17A94"/>
    <w:multiLevelType w:val="hybridMultilevel"/>
    <w:tmpl w:val="29D09684"/>
    <w:lvl w:ilvl="0" w:tplc="BA2A5778">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51C69C6"/>
    <w:multiLevelType w:val="hybridMultilevel"/>
    <w:tmpl w:val="5D9A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D0E09"/>
    <w:multiLevelType w:val="hybridMultilevel"/>
    <w:tmpl w:val="D05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A7290"/>
    <w:multiLevelType w:val="hybridMultilevel"/>
    <w:tmpl w:val="ABB267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D4C198E"/>
    <w:multiLevelType w:val="hybridMultilevel"/>
    <w:tmpl w:val="2452CF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82"/>
    <w:rsid w:val="00011388"/>
    <w:rsid w:val="00022C97"/>
    <w:rsid w:val="0002602D"/>
    <w:rsid w:val="0002671D"/>
    <w:rsid w:val="00050813"/>
    <w:rsid w:val="000622A7"/>
    <w:rsid w:val="00062545"/>
    <w:rsid w:val="000670CE"/>
    <w:rsid w:val="000719D2"/>
    <w:rsid w:val="000905A8"/>
    <w:rsid w:val="000A3420"/>
    <w:rsid w:val="000A4417"/>
    <w:rsid w:val="000A4C98"/>
    <w:rsid w:val="000C2D17"/>
    <w:rsid w:val="000C7A34"/>
    <w:rsid w:val="000D2A8B"/>
    <w:rsid w:val="000E7DE6"/>
    <w:rsid w:val="000F5AAD"/>
    <w:rsid w:val="000F65BE"/>
    <w:rsid w:val="00113162"/>
    <w:rsid w:val="0016712A"/>
    <w:rsid w:val="00167364"/>
    <w:rsid w:val="00181E62"/>
    <w:rsid w:val="001A03A5"/>
    <w:rsid w:val="001C2D8A"/>
    <w:rsid w:val="001C5669"/>
    <w:rsid w:val="001E41F5"/>
    <w:rsid w:val="001E44B6"/>
    <w:rsid w:val="001E4DB2"/>
    <w:rsid w:val="001E7BB5"/>
    <w:rsid w:val="00210EA1"/>
    <w:rsid w:val="00236F63"/>
    <w:rsid w:val="00247FC1"/>
    <w:rsid w:val="00254E2C"/>
    <w:rsid w:val="002616F8"/>
    <w:rsid w:val="00274472"/>
    <w:rsid w:val="00281B6C"/>
    <w:rsid w:val="002831E2"/>
    <w:rsid w:val="002957B8"/>
    <w:rsid w:val="002A6215"/>
    <w:rsid w:val="002B6A45"/>
    <w:rsid w:val="002D06F3"/>
    <w:rsid w:val="002D3C05"/>
    <w:rsid w:val="002E0D95"/>
    <w:rsid w:val="002E30F2"/>
    <w:rsid w:val="002F1948"/>
    <w:rsid w:val="00305B15"/>
    <w:rsid w:val="003067F3"/>
    <w:rsid w:val="00312B0C"/>
    <w:rsid w:val="00343BE4"/>
    <w:rsid w:val="003450D3"/>
    <w:rsid w:val="00354B6D"/>
    <w:rsid w:val="003843C8"/>
    <w:rsid w:val="00387F64"/>
    <w:rsid w:val="0039581B"/>
    <w:rsid w:val="003A2300"/>
    <w:rsid w:val="003A30E4"/>
    <w:rsid w:val="003A66AC"/>
    <w:rsid w:val="003C27F2"/>
    <w:rsid w:val="003C5713"/>
    <w:rsid w:val="003D47D7"/>
    <w:rsid w:val="003E0FAA"/>
    <w:rsid w:val="003E1546"/>
    <w:rsid w:val="003F1EC1"/>
    <w:rsid w:val="003F4B1D"/>
    <w:rsid w:val="00404D55"/>
    <w:rsid w:val="00427D9F"/>
    <w:rsid w:val="00427FBD"/>
    <w:rsid w:val="0043332D"/>
    <w:rsid w:val="00433ED1"/>
    <w:rsid w:val="00434E4A"/>
    <w:rsid w:val="00441B89"/>
    <w:rsid w:val="004645A8"/>
    <w:rsid w:val="00475636"/>
    <w:rsid w:val="00491742"/>
    <w:rsid w:val="00502A53"/>
    <w:rsid w:val="0054272C"/>
    <w:rsid w:val="00546820"/>
    <w:rsid w:val="0055401E"/>
    <w:rsid w:val="00561DE8"/>
    <w:rsid w:val="005736FE"/>
    <w:rsid w:val="00585A93"/>
    <w:rsid w:val="0059293E"/>
    <w:rsid w:val="00595FA2"/>
    <w:rsid w:val="005C0BBC"/>
    <w:rsid w:val="005C2642"/>
    <w:rsid w:val="005D0D27"/>
    <w:rsid w:val="005D69E9"/>
    <w:rsid w:val="005D7233"/>
    <w:rsid w:val="005E0C32"/>
    <w:rsid w:val="005E1F61"/>
    <w:rsid w:val="005E30FB"/>
    <w:rsid w:val="005F16D6"/>
    <w:rsid w:val="006023FD"/>
    <w:rsid w:val="00602E27"/>
    <w:rsid w:val="00615160"/>
    <w:rsid w:val="00631DAC"/>
    <w:rsid w:val="00634DC6"/>
    <w:rsid w:val="00635FF4"/>
    <w:rsid w:val="00653417"/>
    <w:rsid w:val="00681C47"/>
    <w:rsid w:val="006820F0"/>
    <w:rsid w:val="0068278D"/>
    <w:rsid w:val="00684754"/>
    <w:rsid w:val="006A3203"/>
    <w:rsid w:val="006B040D"/>
    <w:rsid w:val="006B1804"/>
    <w:rsid w:val="006C137D"/>
    <w:rsid w:val="006C1551"/>
    <w:rsid w:val="006F7111"/>
    <w:rsid w:val="00702057"/>
    <w:rsid w:val="0070266E"/>
    <w:rsid w:val="0070413A"/>
    <w:rsid w:val="00712241"/>
    <w:rsid w:val="00787A32"/>
    <w:rsid w:val="007A06B9"/>
    <w:rsid w:val="007B0451"/>
    <w:rsid w:val="007C6586"/>
    <w:rsid w:val="007D6F4E"/>
    <w:rsid w:val="007E0431"/>
    <w:rsid w:val="007F6161"/>
    <w:rsid w:val="007F624B"/>
    <w:rsid w:val="00804BDD"/>
    <w:rsid w:val="00836967"/>
    <w:rsid w:val="00843B6E"/>
    <w:rsid w:val="00851C61"/>
    <w:rsid w:val="00890F01"/>
    <w:rsid w:val="00894311"/>
    <w:rsid w:val="008B5DA9"/>
    <w:rsid w:val="008C51EB"/>
    <w:rsid w:val="008C54C2"/>
    <w:rsid w:val="0091175D"/>
    <w:rsid w:val="00930ED7"/>
    <w:rsid w:val="00931A63"/>
    <w:rsid w:val="00937473"/>
    <w:rsid w:val="00937875"/>
    <w:rsid w:val="00973975"/>
    <w:rsid w:val="00993E8C"/>
    <w:rsid w:val="009B1824"/>
    <w:rsid w:val="009C505E"/>
    <w:rsid w:val="009C69CF"/>
    <w:rsid w:val="009D55A3"/>
    <w:rsid w:val="009D7F74"/>
    <w:rsid w:val="009F10D3"/>
    <w:rsid w:val="009F375B"/>
    <w:rsid w:val="009F6DFF"/>
    <w:rsid w:val="00A6506A"/>
    <w:rsid w:val="00A81B5F"/>
    <w:rsid w:val="00A81E31"/>
    <w:rsid w:val="00AA17A7"/>
    <w:rsid w:val="00AA2CC6"/>
    <w:rsid w:val="00AA5848"/>
    <w:rsid w:val="00AB6BE9"/>
    <w:rsid w:val="00AC27DC"/>
    <w:rsid w:val="00AC2E11"/>
    <w:rsid w:val="00B00E74"/>
    <w:rsid w:val="00B03F53"/>
    <w:rsid w:val="00B54AFF"/>
    <w:rsid w:val="00B633EB"/>
    <w:rsid w:val="00B64A40"/>
    <w:rsid w:val="00B90CC7"/>
    <w:rsid w:val="00B93B0F"/>
    <w:rsid w:val="00BB06EF"/>
    <w:rsid w:val="00BB39F9"/>
    <w:rsid w:val="00BD3428"/>
    <w:rsid w:val="00BD7C87"/>
    <w:rsid w:val="00BE5088"/>
    <w:rsid w:val="00BF6947"/>
    <w:rsid w:val="00C038A7"/>
    <w:rsid w:val="00C04115"/>
    <w:rsid w:val="00C14A0F"/>
    <w:rsid w:val="00C1510D"/>
    <w:rsid w:val="00C22253"/>
    <w:rsid w:val="00C23459"/>
    <w:rsid w:val="00C30C44"/>
    <w:rsid w:val="00C31529"/>
    <w:rsid w:val="00C31C53"/>
    <w:rsid w:val="00C63880"/>
    <w:rsid w:val="00C6401B"/>
    <w:rsid w:val="00C719A6"/>
    <w:rsid w:val="00C7343B"/>
    <w:rsid w:val="00CC2A32"/>
    <w:rsid w:val="00CC433F"/>
    <w:rsid w:val="00CD0C70"/>
    <w:rsid w:val="00CF70CF"/>
    <w:rsid w:val="00D01995"/>
    <w:rsid w:val="00D04CF7"/>
    <w:rsid w:val="00D05A99"/>
    <w:rsid w:val="00D13C52"/>
    <w:rsid w:val="00D178FE"/>
    <w:rsid w:val="00D55B82"/>
    <w:rsid w:val="00D6612B"/>
    <w:rsid w:val="00D715B5"/>
    <w:rsid w:val="00D86B11"/>
    <w:rsid w:val="00DD15D0"/>
    <w:rsid w:val="00DD35DD"/>
    <w:rsid w:val="00DE0C08"/>
    <w:rsid w:val="00DE49AB"/>
    <w:rsid w:val="00DF1FC2"/>
    <w:rsid w:val="00E04283"/>
    <w:rsid w:val="00E079A8"/>
    <w:rsid w:val="00E13AE3"/>
    <w:rsid w:val="00E22686"/>
    <w:rsid w:val="00E233E7"/>
    <w:rsid w:val="00E26933"/>
    <w:rsid w:val="00E320E0"/>
    <w:rsid w:val="00E32C63"/>
    <w:rsid w:val="00E44DBB"/>
    <w:rsid w:val="00E457B4"/>
    <w:rsid w:val="00E66DD5"/>
    <w:rsid w:val="00E766AC"/>
    <w:rsid w:val="00E959E4"/>
    <w:rsid w:val="00EA1728"/>
    <w:rsid w:val="00EA4801"/>
    <w:rsid w:val="00EA6EAF"/>
    <w:rsid w:val="00EB1799"/>
    <w:rsid w:val="00EC2731"/>
    <w:rsid w:val="00EC38C7"/>
    <w:rsid w:val="00ED52E2"/>
    <w:rsid w:val="00EF6821"/>
    <w:rsid w:val="00EF7156"/>
    <w:rsid w:val="00F12B23"/>
    <w:rsid w:val="00F13F68"/>
    <w:rsid w:val="00F401D4"/>
    <w:rsid w:val="00F40B9E"/>
    <w:rsid w:val="00F53E07"/>
    <w:rsid w:val="00F56B22"/>
    <w:rsid w:val="00F75A50"/>
    <w:rsid w:val="00F77A4A"/>
    <w:rsid w:val="00F901A0"/>
    <w:rsid w:val="00FA19DF"/>
    <w:rsid w:val="00FB3EB5"/>
    <w:rsid w:val="00FB4FDF"/>
    <w:rsid w:val="00FB52C6"/>
    <w:rsid w:val="00FB6AB4"/>
    <w:rsid w:val="00FC0B8E"/>
    <w:rsid w:val="00FD1FB1"/>
    <w:rsid w:val="00FE0157"/>
    <w:rsid w:val="00FE0CD6"/>
    <w:rsid w:val="00FE2068"/>
    <w:rsid w:val="00FF6222"/>
    <w:rsid w:val="01B51A71"/>
    <w:rsid w:val="01BCA1F7"/>
    <w:rsid w:val="024BDDF8"/>
    <w:rsid w:val="02DDF9E4"/>
    <w:rsid w:val="03697B59"/>
    <w:rsid w:val="03C4C238"/>
    <w:rsid w:val="04D7A3C7"/>
    <w:rsid w:val="06EFE59C"/>
    <w:rsid w:val="075EF7E7"/>
    <w:rsid w:val="08A75909"/>
    <w:rsid w:val="0AA7AB95"/>
    <w:rsid w:val="0AFB12FE"/>
    <w:rsid w:val="0F6F66A1"/>
    <w:rsid w:val="10B1D376"/>
    <w:rsid w:val="126F7BC6"/>
    <w:rsid w:val="14C53DBE"/>
    <w:rsid w:val="15BE853D"/>
    <w:rsid w:val="17C65FE1"/>
    <w:rsid w:val="18BABA4C"/>
    <w:rsid w:val="19812135"/>
    <w:rsid w:val="1B1FE5A4"/>
    <w:rsid w:val="1C2087D6"/>
    <w:rsid w:val="1D23BEE2"/>
    <w:rsid w:val="1EFC4342"/>
    <w:rsid w:val="1FB6DF41"/>
    <w:rsid w:val="20A372AE"/>
    <w:rsid w:val="216426AC"/>
    <w:rsid w:val="22098267"/>
    <w:rsid w:val="22EE606F"/>
    <w:rsid w:val="23DE5049"/>
    <w:rsid w:val="244167C3"/>
    <w:rsid w:val="2679D699"/>
    <w:rsid w:val="2BAB2DB9"/>
    <w:rsid w:val="2C12B2BB"/>
    <w:rsid w:val="2E11B0CD"/>
    <w:rsid w:val="2F1D3630"/>
    <w:rsid w:val="2F8FF428"/>
    <w:rsid w:val="31989CD7"/>
    <w:rsid w:val="35C8E001"/>
    <w:rsid w:val="36452751"/>
    <w:rsid w:val="3780DA46"/>
    <w:rsid w:val="38DD4EED"/>
    <w:rsid w:val="3A2F1AF9"/>
    <w:rsid w:val="3A453160"/>
    <w:rsid w:val="3D3743BB"/>
    <w:rsid w:val="3DB4F5C9"/>
    <w:rsid w:val="3F726AB6"/>
    <w:rsid w:val="41913889"/>
    <w:rsid w:val="4385D4FE"/>
    <w:rsid w:val="4706B356"/>
    <w:rsid w:val="47306650"/>
    <w:rsid w:val="4845C4CF"/>
    <w:rsid w:val="48D334A3"/>
    <w:rsid w:val="4932F063"/>
    <w:rsid w:val="49E99664"/>
    <w:rsid w:val="4D2CB744"/>
    <w:rsid w:val="4E9A8E04"/>
    <w:rsid w:val="55EE1D11"/>
    <w:rsid w:val="568D3FB4"/>
    <w:rsid w:val="56CA7E0F"/>
    <w:rsid w:val="573E166D"/>
    <w:rsid w:val="5917F1C5"/>
    <w:rsid w:val="598F92E8"/>
    <w:rsid w:val="5B63757F"/>
    <w:rsid w:val="5C99D181"/>
    <w:rsid w:val="5D6A49E5"/>
    <w:rsid w:val="5ECF9BA7"/>
    <w:rsid w:val="5F5EE65A"/>
    <w:rsid w:val="5F9E9935"/>
    <w:rsid w:val="5FB2ED11"/>
    <w:rsid w:val="608959C2"/>
    <w:rsid w:val="61F13C35"/>
    <w:rsid w:val="629327AD"/>
    <w:rsid w:val="63F47439"/>
    <w:rsid w:val="65DCEFED"/>
    <w:rsid w:val="68B1C1E9"/>
    <w:rsid w:val="69B52C1C"/>
    <w:rsid w:val="69FA230B"/>
    <w:rsid w:val="6AE593D1"/>
    <w:rsid w:val="6BA3D444"/>
    <w:rsid w:val="6BF7DAFB"/>
    <w:rsid w:val="7051CFC9"/>
    <w:rsid w:val="75BCAAFB"/>
    <w:rsid w:val="78CE3EA7"/>
    <w:rsid w:val="7BC07AFD"/>
    <w:rsid w:val="7CE1A8EF"/>
    <w:rsid w:val="7FE5F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1320"/>
  <w15:chartTrackingRefBased/>
  <w15:docId w15:val="{CF9AFBAD-E0CB-455D-894D-C7A03CE9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C2D8A"/>
    <w:pPr>
      <w:ind w:left="720"/>
      <w:contextualSpacing/>
    </w:pPr>
  </w:style>
  <w:style w:type="paragraph" w:customStyle="1" w:styleId="paragraph">
    <w:name w:val="paragraph"/>
    <w:basedOn w:val="Normal"/>
    <w:rsid w:val="00561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1DE8"/>
  </w:style>
  <w:style w:type="character" w:customStyle="1" w:styleId="eop">
    <w:name w:val="eop"/>
    <w:basedOn w:val="DefaultParagraphFont"/>
    <w:rsid w:val="003067F3"/>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5C0BBC"/>
  </w:style>
  <w:style w:type="table" w:styleId="TableGrid">
    <w:name w:val="Table Grid"/>
    <w:basedOn w:val="TableNormal"/>
    <w:uiPriority w:val="39"/>
    <w:rsid w:val="005E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55"/>
    <w:rPr>
      <w:rFonts w:ascii="Segoe UI" w:hAnsi="Segoe UI" w:cs="Segoe UI"/>
      <w:sz w:val="18"/>
      <w:szCs w:val="18"/>
    </w:rPr>
  </w:style>
  <w:style w:type="paragraph" w:styleId="NormalWeb">
    <w:name w:val="Normal (Web)"/>
    <w:basedOn w:val="Normal"/>
    <w:uiPriority w:val="99"/>
    <w:semiHidden/>
    <w:unhideWhenUsed/>
    <w:rsid w:val="00475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6F63"/>
    <w:rPr>
      <w:color w:val="0563C1" w:themeColor="hyperlink"/>
      <w:u w:val="single"/>
    </w:rPr>
  </w:style>
  <w:style w:type="character" w:styleId="UnresolvedMention">
    <w:name w:val="Unresolved Mention"/>
    <w:basedOn w:val="DefaultParagraphFont"/>
    <w:uiPriority w:val="99"/>
    <w:semiHidden/>
    <w:unhideWhenUsed/>
    <w:rsid w:val="00236F63"/>
    <w:rPr>
      <w:color w:val="605E5C"/>
      <w:shd w:val="clear" w:color="auto" w:fill="E1DFDD"/>
    </w:rPr>
  </w:style>
  <w:style w:type="character" w:styleId="CommentReference">
    <w:name w:val="annotation reference"/>
    <w:basedOn w:val="DefaultParagraphFont"/>
    <w:uiPriority w:val="99"/>
    <w:semiHidden/>
    <w:unhideWhenUsed/>
    <w:rsid w:val="00F401D4"/>
    <w:rPr>
      <w:sz w:val="16"/>
      <w:szCs w:val="16"/>
    </w:rPr>
  </w:style>
  <w:style w:type="paragraph" w:styleId="CommentText">
    <w:name w:val="annotation text"/>
    <w:basedOn w:val="Normal"/>
    <w:link w:val="CommentTextChar"/>
    <w:uiPriority w:val="99"/>
    <w:semiHidden/>
    <w:unhideWhenUsed/>
    <w:rsid w:val="00F401D4"/>
    <w:pPr>
      <w:spacing w:line="240" w:lineRule="auto"/>
    </w:pPr>
    <w:rPr>
      <w:sz w:val="20"/>
      <w:szCs w:val="20"/>
    </w:rPr>
  </w:style>
  <w:style w:type="character" w:customStyle="1" w:styleId="CommentTextChar">
    <w:name w:val="Comment Text Char"/>
    <w:basedOn w:val="DefaultParagraphFont"/>
    <w:link w:val="CommentText"/>
    <w:uiPriority w:val="99"/>
    <w:semiHidden/>
    <w:rsid w:val="00F401D4"/>
    <w:rPr>
      <w:sz w:val="20"/>
      <w:szCs w:val="20"/>
    </w:rPr>
  </w:style>
  <w:style w:type="paragraph" w:styleId="CommentSubject">
    <w:name w:val="annotation subject"/>
    <w:basedOn w:val="CommentText"/>
    <w:next w:val="CommentText"/>
    <w:link w:val="CommentSubjectChar"/>
    <w:uiPriority w:val="99"/>
    <w:semiHidden/>
    <w:unhideWhenUsed/>
    <w:rsid w:val="00F401D4"/>
    <w:rPr>
      <w:b/>
      <w:bCs/>
    </w:rPr>
  </w:style>
  <w:style w:type="character" w:customStyle="1" w:styleId="CommentSubjectChar">
    <w:name w:val="Comment Subject Char"/>
    <w:basedOn w:val="CommentTextChar"/>
    <w:link w:val="CommentSubject"/>
    <w:uiPriority w:val="99"/>
    <w:semiHidden/>
    <w:rsid w:val="00F401D4"/>
    <w:rPr>
      <w:b/>
      <w:bCs/>
      <w:sz w:val="20"/>
      <w:szCs w:val="20"/>
    </w:rPr>
  </w:style>
  <w:style w:type="character" w:styleId="FollowedHyperlink">
    <w:name w:val="FollowedHyperlink"/>
    <w:basedOn w:val="DefaultParagraphFont"/>
    <w:uiPriority w:val="99"/>
    <w:semiHidden/>
    <w:unhideWhenUsed/>
    <w:rsid w:val="005E1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787">
      <w:bodyDiv w:val="1"/>
      <w:marLeft w:val="0"/>
      <w:marRight w:val="0"/>
      <w:marTop w:val="0"/>
      <w:marBottom w:val="0"/>
      <w:divBdr>
        <w:top w:val="none" w:sz="0" w:space="0" w:color="auto"/>
        <w:left w:val="none" w:sz="0" w:space="0" w:color="auto"/>
        <w:bottom w:val="none" w:sz="0" w:space="0" w:color="auto"/>
        <w:right w:val="none" w:sz="0" w:space="0" w:color="auto"/>
      </w:divBdr>
    </w:div>
    <w:div w:id="209155457">
      <w:bodyDiv w:val="1"/>
      <w:marLeft w:val="0"/>
      <w:marRight w:val="0"/>
      <w:marTop w:val="0"/>
      <w:marBottom w:val="0"/>
      <w:divBdr>
        <w:top w:val="none" w:sz="0" w:space="0" w:color="auto"/>
        <w:left w:val="none" w:sz="0" w:space="0" w:color="auto"/>
        <w:bottom w:val="none" w:sz="0" w:space="0" w:color="auto"/>
        <w:right w:val="none" w:sz="0" w:space="0" w:color="auto"/>
      </w:divBdr>
    </w:div>
    <w:div w:id="576473773">
      <w:bodyDiv w:val="1"/>
      <w:marLeft w:val="0"/>
      <w:marRight w:val="0"/>
      <w:marTop w:val="0"/>
      <w:marBottom w:val="0"/>
      <w:divBdr>
        <w:top w:val="none" w:sz="0" w:space="0" w:color="auto"/>
        <w:left w:val="none" w:sz="0" w:space="0" w:color="auto"/>
        <w:bottom w:val="none" w:sz="0" w:space="0" w:color="auto"/>
        <w:right w:val="none" w:sz="0" w:space="0" w:color="auto"/>
      </w:divBdr>
    </w:div>
    <w:div w:id="873344936">
      <w:bodyDiv w:val="1"/>
      <w:marLeft w:val="0"/>
      <w:marRight w:val="0"/>
      <w:marTop w:val="0"/>
      <w:marBottom w:val="0"/>
      <w:divBdr>
        <w:top w:val="none" w:sz="0" w:space="0" w:color="auto"/>
        <w:left w:val="none" w:sz="0" w:space="0" w:color="auto"/>
        <w:bottom w:val="none" w:sz="0" w:space="0" w:color="auto"/>
        <w:right w:val="none" w:sz="0" w:space="0" w:color="auto"/>
      </w:divBdr>
    </w:div>
    <w:div w:id="12281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gp.hmppsintranet.org.uk/plan-b-and-winter-guidance/" TargetMode="External"/><Relationship Id="rId13" Type="http://schemas.openxmlformats.org/officeDocument/2006/relationships/hyperlink" Target="https://pogp.hmppsintranet.org.uk/plan-b-and-winter-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gp.hmppsintranet.org.uk/2020/04/15/safe-operating-procedures-sop-using-p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VID19.RegimesAndOpsGuidance@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gp.hmppsintranet.org.uk/2020/09/28/heat-map-for-reverse-cohorting-requirements-to-review-regime/" TargetMode="External"/><Relationship Id="rId5" Type="http://schemas.openxmlformats.org/officeDocument/2006/relationships/styles" Target="styles.xml"/><Relationship Id="rId15" Type="http://schemas.openxmlformats.org/officeDocument/2006/relationships/hyperlink" Target="https://pogp.hmppsintranet.org.uk/wp-content/uploads/2021/12/V4-Ventilation-Guidance-.docx" TargetMode="External"/><Relationship Id="rId10" Type="http://schemas.openxmlformats.org/officeDocument/2006/relationships/hyperlink" Target="https://pogp.hmppsintranet.org.uk/2020/04/15/cohorting-and-population-management/"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mailto:christopher.huckle1@justice.gov.uk" TargetMode="External"/><Relationship Id="rId14" Type="http://schemas.openxmlformats.org/officeDocument/2006/relationships/hyperlink" Target="https://pogp.hmppsintranet.org.uk/plan-b-and-winte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4" ma:contentTypeDescription="Create a new document." ma:contentTypeScope="" ma:versionID="138f02110e411e09cc86ebaf136831ce">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e5cc967bae212718b4aca9691b28a8e4"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DBF00-876A-436F-9B72-0657891D013E}">
  <ds:schemaRefs>
    <ds:schemaRef ds:uri="http://schemas.microsoft.com/office/2006/documentManagement/types"/>
    <ds:schemaRef ds:uri="http://schemas.microsoft.com/office/2006/metadata/properties"/>
    <ds:schemaRef ds:uri="80b4204d-8db7-4809-a4c4-7914704a9d2c"/>
    <ds:schemaRef ds:uri="http://purl.org/dc/elements/1.1/"/>
    <ds:schemaRef ds:uri="http://schemas.openxmlformats.org/package/2006/metadata/core-properties"/>
    <ds:schemaRef ds:uri="http://purl.org/dc/terms/"/>
    <ds:schemaRef ds:uri="http://schemas.microsoft.com/office/infopath/2007/PartnerControls"/>
    <ds:schemaRef ds:uri="b010cd66-f127-4841-bac0-4c0fad6dd233"/>
    <ds:schemaRef ds:uri="http://www.w3.org/XML/1998/namespace"/>
    <ds:schemaRef ds:uri="http://purl.org/dc/dcmitype/"/>
  </ds:schemaRefs>
</ds:datastoreItem>
</file>

<file path=customXml/itemProps2.xml><?xml version="1.0" encoding="utf-8"?>
<ds:datastoreItem xmlns:ds="http://schemas.openxmlformats.org/officeDocument/2006/customXml" ds:itemID="{D476739B-0147-43CA-A023-D8D69E99739A}">
  <ds:schemaRefs>
    <ds:schemaRef ds:uri="http://schemas.microsoft.com/sharepoint/v3/contenttype/forms"/>
  </ds:schemaRefs>
</ds:datastoreItem>
</file>

<file path=customXml/itemProps3.xml><?xml version="1.0" encoding="utf-8"?>
<ds:datastoreItem xmlns:ds="http://schemas.openxmlformats.org/officeDocument/2006/customXml" ds:itemID="{946153E8-D81B-4816-BC50-FCB050A7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2257</Words>
  <Characters>12868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Cornmell, Ed</cp:lastModifiedBy>
  <cp:revision>2</cp:revision>
  <dcterms:created xsi:type="dcterms:W3CDTF">2021-12-14T12:11:00Z</dcterms:created>
  <dcterms:modified xsi:type="dcterms:W3CDTF">2021-12-14T12:11:00Z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