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AB4FFB" w14:textId="40E06E21" w:rsidR="00FE3120" w:rsidRPr="00313D4E" w:rsidRDefault="0001227A" w:rsidP="00B37FA4">
      <w:pPr>
        <w:tabs>
          <w:tab w:val="left" w:pos="4111"/>
        </w:tabs>
        <w:jc w:val="both"/>
        <w:rPr>
          <w:rFonts w:cstheme="minorHAnsi"/>
          <w:b/>
          <w:bCs/>
        </w:rPr>
      </w:pPr>
      <w:bookmarkStart w:id="0" w:name="_GoBack"/>
      <w:bookmarkEnd w:id="0"/>
      <w:r w:rsidRPr="00313D4E">
        <w:rPr>
          <w:rFonts w:cstheme="minorHAnsi"/>
          <w:b/>
          <w:bCs/>
        </w:rPr>
        <w:t xml:space="preserve">Gold Briefing – </w:t>
      </w:r>
      <w:r w:rsidR="00523148" w:rsidRPr="00313D4E">
        <w:rPr>
          <w:rFonts w:cstheme="minorHAnsi"/>
          <w:b/>
          <w:bCs/>
        </w:rPr>
        <w:t xml:space="preserve">Capacity </w:t>
      </w:r>
      <w:r w:rsidR="008C0EBA">
        <w:rPr>
          <w:rFonts w:cstheme="minorHAnsi"/>
          <w:b/>
          <w:bCs/>
        </w:rPr>
        <w:t xml:space="preserve">Contingency Options and the </w:t>
      </w:r>
      <w:r w:rsidR="008C0EBA" w:rsidRPr="007404DD">
        <w:rPr>
          <w:rFonts w:cstheme="minorHAnsi"/>
          <w:b/>
          <w:bCs/>
        </w:rPr>
        <w:t xml:space="preserve">Lock-Out Process </w:t>
      </w:r>
      <w:r w:rsidR="00330D45" w:rsidRPr="007404DD">
        <w:rPr>
          <w:rFonts w:cstheme="minorHAnsi"/>
          <w:b/>
          <w:bCs/>
        </w:rPr>
        <w:t>(</w:t>
      </w:r>
      <w:r w:rsidR="007404DD" w:rsidRPr="007404DD">
        <w:rPr>
          <w:rFonts w:cstheme="minorHAnsi"/>
          <w:b/>
          <w:bCs/>
        </w:rPr>
        <w:t>25.10.21</w:t>
      </w:r>
      <w:r w:rsidR="007404DD">
        <w:rPr>
          <w:rFonts w:cstheme="minorHAnsi"/>
          <w:b/>
          <w:bCs/>
        </w:rPr>
        <w:t>)</w:t>
      </w:r>
    </w:p>
    <w:p w14:paraId="1BD30EBA" w14:textId="72F55AE3" w:rsidR="0001227A" w:rsidRPr="00313D4E" w:rsidRDefault="00523148" w:rsidP="00B37FA4">
      <w:pPr>
        <w:jc w:val="both"/>
        <w:rPr>
          <w:rFonts w:cstheme="minorHAnsi"/>
          <w:b/>
          <w:bCs/>
        </w:rPr>
      </w:pPr>
      <w:r w:rsidRPr="00313D4E">
        <w:rPr>
          <w:rFonts w:cstheme="minorHAnsi"/>
          <w:b/>
          <w:bCs/>
        </w:rPr>
        <w:t xml:space="preserve">Purpose </w:t>
      </w:r>
    </w:p>
    <w:p w14:paraId="799F76A1" w14:textId="586E6C87" w:rsidR="005352E3" w:rsidRDefault="00EE65D3" w:rsidP="00B37FA4">
      <w:pPr>
        <w:jc w:val="both"/>
        <w:rPr>
          <w:rFonts w:cstheme="minorHAnsi"/>
          <w:bCs/>
        </w:rPr>
      </w:pPr>
      <w:r w:rsidRPr="00313D4E">
        <w:rPr>
          <w:rFonts w:cstheme="minorHAnsi"/>
        </w:rPr>
        <w:t>On 10 August</w:t>
      </w:r>
      <w:r w:rsidR="00C12977">
        <w:rPr>
          <w:rFonts w:cstheme="minorHAnsi"/>
        </w:rPr>
        <w:t xml:space="preserve"> 2021</w:t>
      </w:r>
      <w:r w:rsidRPr="00313D4E">
        <w:rPr>
          <w:rFonts w:cstheme="minorHAnsi"/>
        </w:rPr>
        <w:t xml:space="preserve">, we issued a briefing which reminded </w:t>
      </w:r>
      <w:r w:rsidR="005352E3" w:rsidRPr="00313D4E">
        <w:rPr>
          <w:rFonts w:cstheme="minorHAnsi"/>
        </w:rPr>
        <w:t>establishments</w:t>
      </w:r>
      <w:r w:rsidRPr="00313D4E">
        <w:rPr>
          <w:rFonts w:cstheme="minorHAnsi"/>
        </w:rPr>
        <w:t xml:space="preserve"> of the key principles of compartmentalisation following a meeting hel</w:t>
      </w:r>
      <w:r w:rsidR="005352E3" w:rsidRPr="00313D4E">
        <w:rPr>
          <w:rFonts w:cstheme="minorHAnsi"/>
        </w:rPr>
        <w:t>d</w:t>
      </w:r>
      <w:r w:rsidRPr="00313D4E">
        <w:rPr>
          <w:rFonts w:cstheme="minorHAnsi"/>
        </w:rPr>
        <w:t xml:space="preserve"> by COVID-19 Gold with</w:t>
      </w:r>
      <w:r w:rsidR="005352E3" w:rsidRPr="00313D4E">
        <w:rPr>
          <w:rFonts w:cstheme="minorHAnsi"/>
        </w:rPr>
        <w:t xml:space="preserve"> PGDs about the ongoing capacity pressures across the estate. As part of that briefing we reinforced the message that </w:t>
      </w:r>
      <w:r w:rsidR="00D2547C">
        <w:rPr>
          <w:rFonts w:cstheme="minorHAnsi"/>
          <w:bCs/>
        </w:rPr>
        <w:t>f</w:t>
      </w:r>
      <w:r w:rsidR="005352E3" w:rsidRPr="00B37FA4">
        <w:rPr>
          <w:rFonts w:cstheme="minorHAnsi"/>
          <w:bCs/>
        </w:rPr>
        <w:t>ulfilling our requirements to the courts must take priority over regime delivery</w:t>
      </w:r>
      <w:r w:rsidR="005352E3" w:rsidRPr="00313D4E">
        <w:rPr>
          <w:rFonts w:cstheme="minorHAnsi"/>
          <w:bCs/>
        </w:rPr>
        <w:t xml:space="preserve">, and where we are required to make defensible decisions against the compartmentalisation strategy to avoid locking out, we must do this. </w:t>
      </w:r>
      <w:r w:rsidR="007E25A1">
        <w:rPr>
          <w:rFonts w:cstheme="minorHAnsi"/>
          <w:bCs/>
        </w:rPr>
        <w:t xml:space="preserve">We are now experiencing increased instances of locking out across the estate. </w:t>
      </w:r>
    </w:p>
    <w:p w14:paraId="31332FA8" w14:textId="1E6D5A07" w:rsidR="00534D71" w:rsidRDefault="00835263" w:rsidP="00B37FA4">
      <w:pPr>
        <w:pStyle w:val="xmsonormal"/>
        <w:jc w:val="both"/>
      </w:pPr>
      <w:r>
        <w:rPr>
          <w:rFonts w:cstheme="minorHAnsi"/>
          <w:bCs/>
        </w:rPr>
        <w:t xml:space="preserve">Locking a prisoner out into police custody </w:t>
      </w:r>
      <w:r w:rsidR="00944172">
        <w:rPr>
          <w:rFonts w:cstheme="minorHAnsi"/>
          <w:bCs/>
        </w:rPr>
        <w:t xml:space="preserve">increases risk in </w:t>
      </w:r>
      <w:r w:rsidR="00D00A7E">
        <w:rPr>
          <w:rFonts w:cstheme="minorHAnsi"/>
          <w:bCs/>
        </w:rPr>
        <w:t xml:space="preserve">terms of both </w:t>
      </w:r>
      <w:r w:rsidR="00E54B7A">
        <w:rPr>
          <w:rFonts w:cstheme="minorHAnsi"/>
          <w:bCs/>
        </w:rPr>
        <w:t>public health/COVID and public safety.</w:t>
      </w:r>
      <w:r w:rsidR="00D00A7E">
        <w:rPr>
          <w:rFonts w:cstheme="minorHAnsi"/>
          <w:bCs/>
        </w:rPr>
        <w:t xml:space="preserve"> </w:t>
      </w:r>
      <w:r w:rsidR="00944172">
        <w:rPr>
          <w:rFonts w:cstheme="minorHAnsi"/>
          <w:bCs/>
        </w:rPr>
        <w:t xml:space="preserve"> Alongside safety risks not being suitably managed, </w:t>
      </w:r>
      <w:r w:rsidR="00BD10AB">
        <w:rPr>
          <w:rFonts w:cstheme="minorHAnsi"/>
          <w:bCs/>
        </w:rPr>
        <w:t>locking out</w:t>
      </w:r>
      <w:r w:rsidR="00944172">
        <w:rPr>
          <w:rFonts w:cstheme="minorHAnsi"/>
          <w:bCs/>
        </w:rPr>
        <w:t xml:space="preserve"> also </w:t>
      </w:r>
      <w:r w:rsidR="00B03763">
        <w:rPr>
          <w:rFonts w:cstheme="minorHAnsi"/>
          <w:bCs/>
        </w:rPr>
        <w:t xml:space="preserve">generates further </w:t>
      </w:r>
      <w:r w:rsidR="00E54B7A">
        <w:rPr>
          <w:rFonts w:cstheme="minorHAnsi"/>
          <w:bCs/>
        </w:rPr>
        <w:t>movement</w:t>
      </w:r>
      <w:r w:rsidR="00B03763">
        <w:rPr>
          <w:rFonts w:cstheme="minorHAnsi"/>
          <w:bCs/>
        </w:rPr>
        <w:t xml:space="preserve"> in the system and additional pressure around movement in the following days. </w:t>
      </w:r>
      <w:r w:rsidR="00534D71">
        <w:rPr>
          <w:rFonts w:cstheme="minorHAnsi"/>
          <w:bCs/>
        </w:rPr>
        <w:t>Police</w:t>
      </w:r>
      <w:r w:rsidR="004F444C">
        <w:rPr>
          <w:rFonts w:cstheme="minorHAnsi"/>
          <w:bCs/>
        </w:rPr>
        <w:t xml:space="preserve"> colleagues are not obliged to take prisoners who are locked out and therefore </w:t>
      </w:r>
      <w:r w:rsidR="00534D71">
        <w:t xml:space="preserve">a decision to receive may also be enforced by not </w:t>
      </w:r>
      <w:r w:rsidR="00534D71" w:rsidRPr="00DE1A02">
        <w:t>having any other suitable location to secure the prisoner and the need to protect the public.</w:t>
      </w:r>
      <w:r w:rsidR="00C836B2" w:rsidRPr="00DE1A02">
        <w:t xml:space="preserve"> </w:t>
      </w:r>
      <w:r w:rsidR="00DE1A02" w:rsidRPr="00DE1A02">
        <w:t xml:space="preserve">We would not expect that prisoners with vulnerabilities to be locked out. Population pressures could mean that there may be increased numbers of vulnerable prisoners </w:t>
      </w:r>
      <w:r w:rsidR="00C12977" w:rsidRPr="00C12977">
        <w:t xml:space="preserve">exposed to lock outs </w:t>
      </w:r>
      <w:r w:rsidR="00DE1A02" w:rsidRPr="00DE1A02">
        <w:t xml:space="preserve">and therefore it is critical that we are able to balance Covid-19 controls with the need to manage these </w:t>
      </w:r>
      <w:r w:rsidR="004567A4" w:rsidRPr="00DE1A02">
        <w:t>high-risk</w:t>
      </w:r>
      <w:r w:rsidR="00DE1A02" w:rsidRPr="00DE1A02">
        <w:t xml:space="preserve"> groups.</w:t>
      </w:r>
    </w:p>
    <w:p w14:paraId="035FB6E2" w14:textId="77777777" w:rsidR="002B73A9" w:rsidRDefault="002B73A9" w:rsidP="00B37FA4">
      <w:pPr>
        <w:pStyle w:val="xmsonormal"/>
        <w:jc w:val="both"/>
      </w:pPr>
    </w:p>
    <w:p w14:paraId="72AAA00B" w14:textId="1BE8F85D" w:rsidR="00FF6B65" w:rsidRPr="002252A1" w:rsidRDefault="002B73A9" w:rsidP="00B37FA4">
      <w:pPr>
        <w:jc w:val="both"/>
      </w:pPr>
      <w:r>
        <w:t xml:space="preserve">Prisons are protected not only by the individual controls operating locally but also by the system-level controls operating for the whole estate.  It is understood that </w:t>
      </w:r>
      <w:r w:rsidR="001B63EF">
        <w:t>lockouts</w:t>
      </w:r>
      <w:r>
        <w:t xml:space="preserve"> and redirections increas</w:t>
      </w:r>
      <w:r w:rsidR="002977DE">
        <w:t xml:space="preserve">e </w:t>
      </w:r>
      <w:r>
        <w:t>the requirement to move prisoners overall, which increases the system-level risk as well as being disruptive for the individuals concerned. </w:t>
      </w:r>
    </w:p>
    <w:p w14:paraId="6423CAF1" w14:textId="08AC79F9" w:rsidR="00072B1A" w:rsidRDefault="0029707F" w:rsidP="00B37FA4">
      <w:pPr>
        <w:jc w:val="both"/>
        <w:rPr>
          <w:rFonts w:cstheme="minorHAnsi"/>
          <w:bCs/>
        </w:rPr>
      </w:pPr>
      <w:r>
        <w:rPr>
          <w:rFonts w:cstheme="minorHAnsi"/>
          <w:bCs/>
        </w:rPr>
        <w:t>Considering the risks outlined above, reducing compartmentalisation controls may be the least risky, and most defensible option</w:t>
      </w:r>
      <w:r w:rsidR="00C12977">
        <w:rPr>
          <w:rFonts w:cstheme="minorHAnsi"/>
          <w:bCs/>
        </w:rPr>
        <w:t xml:space="preserve"> in some situations</w:t>
      </w:r>
      <w:r>
        <w:rPr>
          <w:rFonts w:cstheme="minorHAnsi"/>
          <w:bCs/>
        </w:rPr>
        <w:t xml:space="preserve">. </w:t>
      </w:r>
      <w:r w:rsidR="005352E3" w:rsidRPr="00313D4E">
        <w:rPr>
          <w:rFonts w:cstheme="minorHAnsi"/>
          <w:bCs/>
        </w:rPr>
        <w:t xml:space="preserve">The purpose of this briefing is </w:t>
      </w:r>
      <w:r>
        <w:rPr>
          <w:rFonts w:cstheme="minorHAnsi"/>
          <w:bCs/>
        </w:rPr>
        <w:t xml:space="preserve">therefore </w:t>
      </w:r>
      <w:r w:rsidR="005352E3" w:rsidRPr="00313D4E">
        <w:rPr>
          <w:rFonts w:cstheme="minorHAnsi"/>
          <w:bCs/>
        </w:rPr>
        <w:t xml:space="preserve">to provide further information on the </w:t>
      </w:r>
      <w:r w:rsidR="00072B1A" w:rsidRPr="00313D4E">
        <w:rPr>
          <w:rFonts w:cstheme="minorHAnsi"/>
          <w:bCs/>
        </w:rPr>
        <w:t>processes that prisons are expected to follow if they experience a situation where capacity requirements mean that they are unable to deliver Compartmentalisation as per the current policy</w:t>
      </w:r>
      <w:r w:rsidR="00985113">
        <w:rPr>
          <w:rFonts w:cstheme="minorHAnsi"/>
          <w:bCs/>
        </w:rPr>
        <w:t xml:space="preserve"> in order to avoid locking out</w:t>
      </w:r>
      <w:r w:rsidR="00072B1A" w:rsidRPr="00313D4E">
        <w:rPr>
          <w:rFonts w:cstheme="minorHAnsi"/>
          <w:bCs/>
        </w:rPr>
        <w:t xml:space="preserve">. </w:t>
      </w:r>
      <w:r w:rsidR="00FF6B65">
        <w:rPr>
          <w:rFonts w:cstheme="minorHAnsi"/>
          <w:bCs/>
        </w:rPr>
        <w:t xml:space="preserve">It also provides a template document that establishments must use to evidence that they have exhausted all other options around compartmentalisation to avoid locking out prior to making this decision. </w:t>
      </w:r>
    </w:p>
    <w:p w14:paraId="25BB7A8E" w14:textId="3766A2DD" w:rsidR="00DA5DFA" w:rsidRDefault="00DA5DFA" w:rsidP="00B37FA4">
      <w:pPr>
        <w:jc w:val="both"/>
        <w:rPr>
          <w:rFonts w:cstheme="minorHAnsi"/>
          <w:bCs/>
        </w:rPr>
      </w:pPr>
      <w:r>
        <w:rPr>
          <w:rFonts w:cstheme="minorHAnsi"/>
          <w:bCs/>
        </w:rPr>
        <w:t>The conti</w:t>
      </w:r>
      <w:r w:rsidR="00DF6B90">
        <w:rPr>
          <w:rFonts w:cstheme="minorHAnsi"/>
          <w:bCs/>
        </w:rPr>
        <w:t xml:space="preserve">ngency options explored within this guidance </w:t>
      </w:r>
      <w:r w:rsidR="00253E6E">
        <w:rPr>
          <w:rFonts w:cstheme="minorHAnsi"/>
          <w:bCs/>
        </w:rPr>
        <w:t xml:space="preserve">are </w:t>
      </w:r>
      <w:r w:rsidR="00EE4BC5">
        <w:rPr>
          <w:rFonts w:cstheme="minorHAnsi"/>
          <w:bCs/>
        </w:rPr>
        <w:t xml:space="preserve">not </w:t>
      </w:r>
      <w:r w:rsidR="00937C60">
        <w:rPr>
          <w:rFonts w:cstheme="minorHAnsi"/>
          <w:bCs/>
        </w:rPr>
        <w:t>proposed</w:t>
      </w:r>
      <w:r w:rsidR="00EE4BC5">
        <w:rPr>
          <w:rFonts w:cstheme="minorHAnsi"/>
          <w:bCs/>
        </w:rPr>
        <w:t xml:space="preserve"> to replace </w:t>
      </w:r>
      <w:r w:rsidR="006D5DEC">
        <w:rPr>
          <w:rFonts w:cstheme="minorHAnsi"/>
          <w:bCs/>
        </w:rPr>
        <w:t>existing</w:t>
      </w:r>
      <w:r w:rsidR="00EE4BC5">
        <w:rPr>
          <w:rFonts w:cstheme="minorHAnsi"/>
          <w:bCs/>
        </w:rPr>
        <w:t xml:space="preserve"> processes and are only intended </w:t>
      </w:r>
      <w:r w:rsidR="00937C60">
        <w:rPr>
          <w:rFonts w:cstheme="minorHAnsi"/>
          <w:bCs/>
        </w:rPr>
        <w:t xml:space="preserve">for use in exceptional circumstances. </w:t>
      </w:r>
      <w:r w:rsidR="00EC6B69">
        <w:rPr>
          <w:rFonts w:cstheme="minorHAnsi"/>
          <w:bCs/>
        </w:rPr>
        <w:t>Establishments are kindly reminded that in order to avoid the need to utilise these options, it is critical that</w:t>
      </w:r>
      <w:r w:rsidR="004E7774">
        <w:rPr>
          <w:rFonts w:cstheme="minorHAnsi"/>
          <w:bCs/>
        </w:rPr>
        <w:t xml:space="preserve"> they continue to liaise with PMU to ensure that prisoner </w:t>
      </w:r>
      <w:r w:rsidR="00C12977">
        <w:rPr>
          <w:rFonts w:cstheme="minorHAnsi"/>
          <w:bCs/>
        </w:rPr>
        <w:t xml:space="preserve">transfers </w:t>
      </w:r>
      <w:r w:rsidR="004E7774">
        <w:rPr>
          <w:rFonts w:cstheme="minorHAnsi"/>
          <w:bCs/>
        </w:rPr>
        <w:t xml:space="preserve">are </w:t>
      </w:r>
      <w:r w:rsidR="00C12977">
        <w:rPr>
          <w:rFonts w:cstheme="minorHAnsi"/>
          <w:bCs/>
        </w:rPr>
        <w:t xml:space="preserve">fully used </w:t>
      </w:r>
      <w:r w:rsidR="00193D62">
        <w:rPr>
          <w:rFonts w:cstheme="minorHAnsi"/>
          <w:bCs/>
        </w:rPr>
        <w:t>to create spaces</w:t>
      </w:r>
      <w:r w:rsidR="0094400E">
        <w:rPr>
          <w:rFonts w:cstheme="minorHAnsi"/>
          <w:bCs/>
        </w:rPr>
        <w:t>, particularly between the local and training estate</w:t>
      </w:r>
      <w:r w:rsidR="00225434">
        <w:rPr>
          <w:rFonts w:cstheme="minorHAnsi"/>
          <w:bCs/>
        </w:rPr>
        <w:t xml:space="preserve"> such as utilising overcrowding draft moves</w:t>
      </w:r>
      <w:r w:rsidR="00C12977">
        <w:rPr>
          <w:rFonts w:cstheme="minorHAnsi"/>
          <w:bCs/>
        </w:rPr>
        <w:t>, filling the training and resettlement estate (including open prisons) to capacity</w:t>
      </w:r>
      <w:r w:rsidR="00225434">
        <w:rPr>
          <w:rFonts w:cstheme="minorHAnsi"/>
          <w:bCs/>
        </w:rPr>
        <w:t xml:space="preserve">. </w:t>
      </w:r>
      <w:r w:rsidR="00C05EEF">
        <w:rPr>
          <w:rFonts w:cstheme="minorHAnsi"/>
          <w:bCs/>
        </w:rPr>
        <w:t>Similarly</w:t>
      </w:r>
      <w:r w:rsidR="00681837">
        <w:rPr>
          <w:rFonts w:cstheme="minorHAnsi"/>
          <w:bCs/>
        </w:rPr>
        <w:t xml:space="preserve">, continued focus on </w:t>
      </w:r>
      <w:r w:rsidR="00C05EEF">
        <w:rPr>
          <w:rFonts w:cstheme="minorHAnsi"/>
          <w:bCs/>
        </w:rPr>
        <w:t>existing</w:t>
      </w:r>
      <w:r w:rsidR="00681837">
        <w:rPr>
          <w:rFonts w:cstheme="minorHAnsi"/>
          <w:bCs/>
        </w:rPr>
        <w:t xml:space="preserve"> </w:t>
      </w:r>
      <w:r w:rsidR="00290942">
        <w:rPr>
          <w:rFonts w:cstheme="minorHAnsi"/>
          <w:bCs/>
        </w:rPr>
        <w:t xml:space="preserve">approaches to </w:t>
      </w:r>
      <w:r w:rsidR="00C12977">
        <w:rPr>
          <w:rFonts w:cstheme="minorHAnsi"/>
          <w:bCs/>
        </w:rPr>
        <w:t xml:space="preserve">the </w:t>
      </w:r>
      <w:r w:rsidR="00290942">
        <w:rPr>
          <w:rFonts w:cstheme="minorHAnsi"/>
          <w:bCs/>
        </w:rPr>
        <w:t>management of capacity and available spaces is critical. This includes</w:t>
      </w:r>
      <w:r w:rsidR="00C05EEF">
        <w:rPr>
          <w:rFonts w:cstheme="minorHAnsi"/>
          <w:bCs/>
        </w:rPr>
        <w:t>:</w:t>
      </w:r>
      <w:r w:rsidR="00290942">
        <w:rPr>
          <w:rFonts w:cstheme="minorHAnsi"/>
          <w:bCs/>
        </w:rPr>
        <w:t xml:space="preserve"> ensuring that managers meet regularly with estates </w:t>
      </w:r>
      <w:r w:rsidR="00C12977">
        <w:rPr>
          <w:rFonts w:cstheme="minorHAnsi"/>
          <w:bCs/>
        </w:rPr>
        <w:t xml:space="preserve">managers (FM) </w:t>
      </w:r>
      <w:r w:rsidR="00290942">
        <w:rPr>
          <w:rFonts w:cstheme="minorHAnsi"/>
          <w:bCs/>
        </w:rPr>
        <w:t xml:space="preserve"> to discuss and review out </w:t>
      </w:r>
      <w:r w:rsidR="00C12977">
        <w:rPr>
          <w:rFonts w:cstheme="minorHAnsi"/>
          <w:bCs/>
        </w:rPr>
        <w:t xml:space="preserve">of </w:t>
      </w:r>
      <w:r w:rsidR="00290942">
        <w:rPr>
          <w:rFonts w:cstheme="minorHAnsi"/>
          <w:bCs/>
        </w:rPr>
        <w:t>use cells and the timelines for getting them back on line</w:t>
      </w:r>
      <w:r w:rsidR="00C05EEF">
        <w:rPr>
          <w:rFonts w:cstheme="minorHAnsi"/>
          <w:bCs/>
        </w:rPr>
        <w:t>;</w:t>
      </w:r>
      <w:r w:rsidR="00290942">
        <w:rPr>
          <w:rFonts w:cstheme="minorHAnsi"/>
          <w:bCs/>
        </w:rPr>
        <w:t xml:space="preserve"> </w:t>
      </w:r>
      <w:r w:rsidR="008556A6">
        <w:rPr>
          <w:rFonts w:cstheme="minorHAnsi"/>
          <w:bCs/>
        </w:rPr>
        <w:t>management of CSRA processes</w:t>
      </w:r>
      <w:r w:rsidR="00C05EEF">
        <w:rPr>
          <w:rFonts w:cstheme="minorHAnsi"/>
          <w:bCs/>
        </w:rPr>
        <w:t>;</w:t>
      </w:r>
      <w:r w:rsidR="008556A6">
        <w:rPr>
          <w:rFonts w:cstheme="minorHAnsi"/>
          <w:bCs/>
        </w:rPr>
        <w:t xml:space="preserve"> </w:t>
      </w:r>
      <w:r w:rsidR="00C05EEF">
        <w:rPr>
          <w:rFonts w:cstheme="minorHAnsi"/>
          <w:bCs/>
        </w:rPr>
        <w:t xml:space="preserve">management of prisoners who refuse to share cells despite their CSRA rating and </w:t>
      </w:r>
      <w:r w:rsidR="00C12977">
        <w:rPr>
          <w:rFonts w:cstheme="minorHAnsi"/>
          <w:bCs/>
        </w:rPr>
        <w:t>compliance with the National Allocation Protocol.</w:t>
      </w:r>
      <w:r w:rsidR="00C05EEF">
        <w:rPr>
          <w:rFonts w:cstheme="minorHAnsi"/>
          <w:bCs/>
        </w:rPr>
        <w:t xml:space="preserve"> </w:t>
      </w:r>
    </w:p>
    <w:p w14:paraId="043D474E" w14:textId="3EFDFF7A" w:rsidR="00BD1D7D" w:rsidRDefault="00BD1D7D" w:rsidP="00B37FA4">
      <w:pPr>
        <w:jc w:val="both"/>
        <w:rPr>
          <w:rFonts w:cstheme="minorHAnsi"/>
          <w:bCs/>
        </w:rPr>
      </w:pPr>
      <w:r>
        <w:t>Establishments are advised to consider the options detailed below ahead of the necessity to use them and should work with their local trade union branches to determine which options may be most suitable for local application however responsibility for defensible decision making continues to sit with the Governor.</w:t>
      </w:r>
    </w:p>
    <w:p w14:paraId="497A9E03" w14:textId="7782CB3A" w:rsidR="003039F2" w:rsidRPr="00313D4E" w:rsidRDefault="003039F2" w:rsidP="00B37FA4">
      <w:pPr>
        <w:jc w:val="both"/>
        <w:rPr>
          <w:rFonts w:cstheme="minorHAnsi"/>
          <w:bCs/>
        </w:rPr>
      </w:pPr>
      <w:r>
        <w:rPr>
          <w:rFonts w:cstheme="minorHAnsi"/>
          <w:bCs/>
        </w:rPr>
        <w:t xml:space="preserve">V7 of the Compartmentalisation guidance is currently being </w:t>
      </w:r>
      <w:r w:rsidR="001939C6">
        <w:rPr>
          <w:rFonts w:cstheme="minorHAnsi"/>
          <w:bCs/>
        </w:rPr>
        <w:t xml:space="preserve">developed </w:t>
      </w:r>
      <w:r w:rsidR="00994A73">
        <w:rPr>
          <w:rFonts w:cstheme="minorHAnsi"/>
          <w:bCs/>
        </w:rPr>
        <w:t>and will be published in due course</w:t>
      </w:r>
      <w:r w:rsidR="008E3E10">
        <w:rPr>
          <w:rFonts w:cstheme="minorHAnsi"/>
          <w:bCs/>
        </w:rPr>
        <w:t>, once stakeholder consultation has been completed</w:t>
      </w:r>
      <w:r w:rsidR="00994A73">
        <w:rPr>
          <w:rFonts w:cstheme="minorHAnsi"/>
          <w:bCs/>
        </w:rPr>
        <w:t xml:space="preserve">. The contents of this briefing are </w:t>
      </w:r>
      <w:r w:rsidR="00994A73">
        <w:rPr>
          <w:rFonts w:cstheme="minorHAnsi"/>
          <w:bCs/>
        </w:rPr>
        <w:lastRenderedPageBreak/>
        <w:t>applicable to the currently live V6 and will then also apply to V7 once published</w:t>
      </w:r>
      <w:r w:rsidR="00C12977">
        <w:rPr>
          <w:rFonts w:cstheme="minorHAnsi"/>
          <w:bCs/>
        </w:rPr>
        <w:t xml:space="preserve"> and subsequent updates</w:t>
      </w:r>
    </w:p>
    <w:p w14:paraId="083A6469" w14:textId="646A4F94" w:rsidR="00072B1A" w:rsidRPr="00313D4E" w:rsidRDefault="00072B1A" w:rsidP="00B37FA4">
      <w:pPr>
        <w:jc w:val="both"/>
        <w:rPr>
          <w:rFonts w:cstheme="minorHAnsi"/>
          <w:b/>
          <w:bCs/>
        </w:rPr>
      </w:pPr>
      <w:r w:rsidRPr="00313D4E">
        <w:rPr>
          <w:rFonts w:cstheme="minorHAnsi"/>
          <w:b/>
          <w:bCs/>
        </w:rPr>
        <w:t xml:space="preserve">Summary </w:t>
      </w:r>
      <w:r w:rsidR="003142D6">
        <w:rPr>
          <w:rFonts w:cstheme="minorHAnsi"/>
          <w:b/>
          <w:bCs/>
        </w:rPr>
        <w:t>of Process</w:t>
      </w:r>
    </w:p>
    <w:p w14:paraId="544365FE" w14:textId="053F1A36" w:rsidR="00523148" w:rsidRPr="00313D4E" w:rsidRDefault="00072B1A" w:rsidP="00B37FA4">
      <w:pPr>
        <w:jc w:val="both"/>
        <w:rPr>
          <w:rFonts w:cstheme="minorHAnsi"/>
        </w:rPr>
      </w:pPr>
      <w:r w:rsidRPr="00313D4E">
        <w:rPr>
          <w:rFonts w:cstheme="minorHAnsi"/>
        </w:rPr>
        <w:t xml:space="preserve">If an establishment experiences </w:t>
      </w:r>
      <w:r w:rsidR="00B77775">
        <w:rPr>
          <w:rFonts w:cstheme="minorHAnsi"/>
        </w:rPr>
        <w:t>an urgent need to access prison spaces due to an operational pressure (</w:t>
      </w:r>
      <w:proofErr w:type="spellStart"/>
      <w:r w:rsidR="00B77775">
        <w:rPr>
          <w:rFonts w:cstheme="minorHAnsi"/>
        </w:rPr>
        <w:t>i.e</w:t>
      </w:r>
      <w:proofErr w:type="spellEnd"/>
      <w:r w:rsidR="00B77775">
        <w:rPr>
          <w:rFonts w:cstheme="minorHAnsi"/>
        </w:rPr>
        <w:t xml:space="preserve"> police operation, </w:t>
      </w:r>
      <w:r w:rsidR="005E2B26">
        <w:rPr>
          <w:rFonts w:eastAsia="Times New Roman"/>
        </w:rPr>
        <w:t>decant</w:t>
      </w:r>
      <w:r w:rsidR="003142D6">
        <w:rPr>
          <w:rFonts w:eastAsia="Times New Roman"/>
        </w:rPr>
        <w:t>ed</w:t>
      </w:r>
      <w:r w:rsidR="005E2B26">
        <w:rPr>
          <w:rFonts w:eastAsia="Times New Roman"/>
        </w:rPr>
        <w:t xml:space="preserve"> accommodation, prison incident or population pressure)</w:t>
      </w:r>
      <w:r w:rsidR="006672BB">
        <w:rPr>
          <w:rFonts w:eastAsia="Times New Roman"/>
        </w:rPr>
        <w:t xml:space="preserve"> which means </w:t>
      </w:r>
      <w:r w:rsidRPr="00313D4E">
        <w:rPr>
          <w:rFonts w:cstheme="minorHAnsi"/>
        </w:rPr>
        <w:t xml:space="preserve">they are </w:t>
      </w:r>
      <w:r w:rsidRPr="00313D4E">
        <w:rPr>
          <w:rFonts w:cstheme="minorHAnsi"/>
          <w:bCs/>
        </w:rPr>
        <w:t>unable to deliver Compartmentalisation as per the current policy they should follow the below process</w:t>
      </w:r>
      <w:r w:rsidR="006672BB">
        <w:rPr>
          <w:rFonts w:cstheme="minorHAnsi"/>
          <w:bCs/>
        </w:rPr>
        <w:t xml:space="preserve"> of options</w:t>
      </w:r>
      <w:r w:rsidRPr="00313D4E">
        <w:rPr>
          <w:rFonts w:cstheme="minorHAnsi"/>
          <w:bCs/>
        </w:rPr>
        <w:t>:</w:t>
      </w:r>
    </w:p>
    <w:p w14:paraId="03FA1F18" w14:textId="09CEAB66" w:rsidR="00D425DC" w:rsidRPr="00523784" w:rsidRDefault="0001227A" w:rsidP="00523784">
      <w:pPr>
        <w:pStyle w:val="ListParagraph"/>
        <w:numPr>
          <w:ilvl w:val="0"/>
          <w:numId w:val="1"/>
        </w:numPr>
        <w:jc w:val="both"/>
        <w:rPr>
          <w:rStyle w:val="Hyperlink"/>
          <w:rFonts w:asciiTheme="minorHAnsi" w:eastAsia="Times New Roman" w:hAnsiTheme="minorHAnsi" w:cstheme="minorHAnsi"/>
          <w:color w:val="auto"/>
          <w:u w:val="none"/>
        </w:rPr>
      </w:pPr>
      <w:r w:rsidRPr="00313D4E">
        <w:rPr>
          <w:rFonts w:asciiTheme="minorHAnsi" w:eastAsia="Times New Roman" w:hAnsiTheme="minorHAnsi" w:cstheme="minorHAnsi"/>
        </w:rPr>
        <w:t>Notify P</w:t>
      </w:r>
      <w:r w:rsidR="00072B1A" w:rsidRPr="00313D4E">
        <w:rPr>
          <w:rFonts w:asciiTheme="minorHAnsi" w:eastAsia="Times New Roman" w:hAnsiTheme="minorHAnsi" w:cstheme="minorHAnsi"/>
        </w:rPr>
        <w:t xml:space="preserve">opulation Management </w:t>
      </w:r>
      <w:r w:rsidRPr="00313D4E">
        <w:rPr>
          <w:rFonts w:asciiTheme="minorHAnsi" w:eastAsia="Times New Roman" w:hAnsiTheme="minorHAnsi" w:cstheme="minorHAnsi"/>
        </w:rPr>
        <w:t>U</w:t>
      </w:r>
      <w:r w:rsidR="00072B1A" w:rsidRPr="00313D4E">
        <w:rPr>
          <w:rFonts w:asciiTheme="minorHAnsi" w:eastAsia="Times New Roman" w:hAnsiTheme="minorHAnsi" w:cstheme="minorHAnsi"/>
        </w:rPr>
        <w:t xml:space="preserve">nit (PMU) </w:t>
      </w:r>
      <w:r w:rsidRPr="00313D4E">
        <w:rPr>
          <w:rFonts w:asciiTheme="minorHAnsi" w:eastAsia="Times New Roman" w:hAnsiTheme="minorHAnsi" w:cstheme="minorHAnsi"/>
        </w:rPr>
        <w:t xml:space="preserve">of </w:t>
      </w:r>
      <w:r w:rsidR="003142D6">
        <w:rPr>
          <w:rFonts w:asciiTheme="minorHAnsi" w:eastAsia="Times New Roman" w:hAnsiTheme="minorHAnsi" w:cstheme="minorHAnsi"/>
        </w:rPr>
        <w:t xml:space="preserve">the </w:t>
      </w:r>
      <w:r w:rsidRPr="00313D4E">
        <w:rPr>
          <w:rFonts w:asciiTheme="minorHAnsi" w:eastAsia="Times New Roman" w:hAnsiTheme="minorHAnsi" w:cstheme="minorHAnsi"/>
        </w:rPr>
        <w:t>issue</w:t>
      </w:r>
      <w:r w:rsidR="00072B1A" w:rsidRPr="00313D4E">
        <w:rPr>
          <w:rFonts w:asciiTheme="minorHAnsi" w:eastAsia="Times New Roman" w:hAnsiTheme="minorHAnsi" w:cstheme="minorHAnsi"/>
        </w:rPr>
        <w:t xml:space="preserve">. </w:t>
      </w:r>
      <w:r w:rsidR="00313D4E" w:rsidRPr="00313D4E">
        <w:rPr>
          <w:rFonts w:asciiTheme="minorHAnsi" w:eastAsia="Times New Roman" w:hAnsiTheme="minorHAnsi" w:cstheme="minorHAnsi"/>
        </w:rPr>
        <w:t xml:space="preserve">This should happen via the dedicated establishment Population Manager, but the Population Management section can also be reached via : </w:t>
      </w:r>
      <w:hyperlink r:id="rId10" w:history="1">
        <w:r w:rsidR="00313D4E" w:rsidRPr="00313D4E">
          <w:rPr>
            <w:rStyle w:val="Hyperlink"/>
            <w:rFonts w:asciiTheme="minorHAnsi" w:hAnsiTheme="minorHAnsi" w:cstheme="minorHAnsi"/>
          </w:rPr>
          <w:t>pms@justice.gov.uk</w:t>
        </w:r>
      </w:hyperlink>
    </w:p>
    <w:p w14:paraId="2107A9C9" w14:textId="77777777" w:rsidR="00523784" w:rsidRPr="00523784" w:rsidRDefault="00523784" w:rsidP="00523784">
      <w:pPr>
        <w:pStyle w:val="ListParagraph"/>
        <w:jc w:val="both"/>
        <w:rPr>
          <w:rFonts w:asciiTheme="minorHAnsi" w:eastAsia="Times New Roman" w:hAnsiTheme="minorHAnsi" w:cstheme="minorHAnsi"/>
        </w:rPr>
      </w:pPr>
    </w:p>
    <w:p w14:paraId="13B9DEA1" w14:textId="6117139D" w:rsidR="00D425DC" w:rsidRPr="00536DAA" w:rsidRDefault="0001227A" w:rsidP="00B37FA4">
      <w:pPr>
        <w:pStyle w:val="ListParagraph"/>
        <w:numPr>
          <w:ilvl w:val="0"/>
          <w:numId w:val="1"/>
        </w:numPr>
        <w:jc w:val="both"/>
        <w:rPr>
          <w:rFonts w:asciiTheme="minorHAnsi" w:eastAsia="Times New Roman" w:hAnsiTheme="minorHAnsi" w:cstheme="minorHAnsi"/>
        </w:rPr>
      </w:pPr>
      <w:r w:rsidRPr="00313D4E">
        <w:rPr>
          <w:rFonts w:asciiTheme="minorHAnsi" w:eastAsia="Times New Roman" w:hAnsiTheme="minorHAnsi" w:cstheme="minorHAnsi"/>
        </w:rPr>
        <w:t>PGD office</w:t>
      </w:r>
      <w:r w:rsidR="00D425DC" w:rsidRPr="00313D4E">
        <w:rPr>
          <w:rFonts w:asciiTheme="minorHAnsi" w:eastAsia="Times New Roman" w:hAnsiTheme="minorHAnsi" w:cstheme="minorHAnsi"/>
        </w:rPr>
        <w:t xml:space="preserve">s will provide </w:t>
      </w:r>
      <w:r w:rsidRPr="00313D4E">
        <w:rPr>
          <w:rFonts w:asciiTheme="minorHAnsi" w:eastAsia="Times New Roman" w:hAnsiTheme="minorHAnsi" w:cstheme="minorHAnsi"/>
        </w:rPr>
        <w:t xml:space="preserve">support </w:t>
      </w:r>
      <w:r w:rsidR="00D425DC" w:rsidRPr="00313D4E">
        <w:rPr>
          <w:rFonts w:asciiTheme="minorHAnsi" w:eastAsia="Times New Roman" w:hAnsiTheme="minorHAnsi" w:cstheme="minorHAnsi"/>
        </w:rPr>
        <w:t>to ensure that</w:t>
      </w:r>
      <w:r w:rsidR="003142D6">
        <w:rPr>
          <w:rFonts w:asciiTheme="minorHAnsi" w:eastAsia="Times New Roman" w:hAnsiTheme="minorHAnsi" w:cstheme="minorHAnsi"/>
        </w:rPr>
        <w:t xml:space="preserve"> the</w:t>
      </w:r>
      <w:r w:rsidR="00D425DC" w:rsidRPr="00313D4E">
        <w:rPr>
          <w:rFonts w:asciiTheme="minorHAnsi" w:eastAsia="Times New Roman" w:hAnsiTheme="minorHAnsi" w:cstheme="minorHAnsi"/>
        </w:rPr>
        <w:t xml:space="preserve"> </w:t>
      </w:r>
      <w:r w:rsidRPr="00313D4E">
        <w:rPr>
          <w:rFonts w:asciiTheme="minorHAnsi" w:eastAsia="Times New Roman" w:hAnsiTheme="minorHAnsi" w:cstheme="minorHAnsi"/>
        </w:rPr>
        <w:t>avoidance of lock out</w:t>
      </w:r>
      <w:r w:rsidR="003142D6">
        <w:rPr>
          <w:rFonts w:asciiTheme="minorHAnsi" w:eastAsia="Times New Roman" w:hAnsiTheme="minorHAnsi" w:cstheme="minorHAnsi"/>
        </w:rPr>
        <w:t xml:space="preserve"> is</w:t>
      </w:r>
      <w:r w:rsidRPr="00313D4E">
        <w:rPr>
          <w:rFonts w:asciiTheme="minorHAnsi" w:eastAsia="Times New Roman" w:hAnsiTheme="minorHAnsi" w:cstheme="minorHAnsi"/>
        </w:rPr>
        <w:t xml:space="preserve"> a priority </w:t>
      </w:r>
      <w:r w:rsidR="00D425DC" w:rsidRPr="00313D4E">
        <w:rPr>
          <w:rFonts w:asciiTheme="minorHAnsi" w:eastAsia="Times New Roman" w:hAnsiTheme="minorHAnsi" w:cstheme="minorHAnsi"/>
        </w:rPr>
        <w:t xml:space="preserve">and </w:t>
      </w:r>
      <w:r w:rsidRPr="00313D4E">
        <w:rPr>
          <w:rFonts w:asciiTheme="minorHAnsi" w:eastAsia="Times New Roman" w:hAnsiTheme="minorHAnsi" w:cstheme="minorHAnsi"/>
        </w:rPr>
        <w:t xml:space="preserve">therefore </w:t>
      </w:r>
      <w:r w:rsidR="00D425DC" w:rsidRPr="00313D4E">
        <w:rPr>
          <w:rFonts w:asciiTheme="minorHAnsi" w:eastAsia="Times New Roman" w:hAnsiTheme="minorHAnsi" w:cstheme="minorHAnsi"/>
        </w:rPr>
        <w:t xml:space="preserve">the establishment must </w:t>
      </w:r>
      <w:r w:rsidRPr="00313D4E">
        <w:rPr>
          <w:rFonts w:asciiTheme="minorHAnsi" w:eastAsia="Times New Roman" w:hAnsiTheme="minorHAnsi" w:cstheme="minorHAnsi"/>
        </w:rPr>
        <w:t>consider access to</w:t>
      </w:r>
      <w:r w:rsidR="00D425DC" w:rsidRPr="00313D4E">
        <w:rPr>
          <w:rFonts w:asciiTheme="minorHAnsi" w:eastAsia="Times New Roman" w:hAnsiTheme="minorHAnsi" w:cstheme="minorHAnsi"/>
          <w:b/>
          <w:bCs/>
        </w:rPr>
        <w:t xml:space="preserve"> </w:t>
      </w:r>
      <w:r w:rsidRPr="00313D4E">
        <w:rPr>
          <w:rFonts w:asciiTheme="minorHAnsi" w:eastAsia="Times New Roman" w:hAnsiTheme="minorHAnsi" w:cstheme="minorHAnsi"/>
          <w:b/>
          <w:bCs/>
          <w:u w:val="single"/>
        </w:rPr>
        <w:t>all</w:t>
      </w:r>
      <w:r w:rsidRPr="00313D4E">
        <w:rPr>
          <w:rFonts w:asciiTheme="minorHAnsi" w:eastAsia="Times New Roman" w:hAnsiTheme="minorHAnsi" w:cstheme="minorHAnsi"/>
        </w:rPr>
        <w:t xml:space="preserve"> </w:t>
      </w:r>
      <w:r w:rsidR="00D425DC" w:rsidRPr="00313D4E">
        <w:rPr>
          <w:rFonts w:asciiTheme="minorHAnsi" w:eastAsia="Times New Roman" w:hAnsiTheme="minorHAnsi" w:cstheme="minorHAnsi"/>
        </w:rPr>
        <w:t xml:space="preserve">available </w:t>
      </w:r>
      <w:r w:rsidRPr="00313D4E">
        <w:rPr>
          <w:rFonts w:asciiTheme="minorHAnsi" w:eastAsia="Times New Roman" w:hAnsiTheme="minorHAnsi" w:cstheme="minorHAnsi"/>
        </w:rPr>
        <w:t>spaces.</w:t>
      </w:r>
      <w:r w:rsidR="00D425DC" w:rsidRPr="00313D4E">
        <w:rPr>
          <w:rFonts w:asciiTheme="minorHAnsi" w:eastAsia="Times New Roman" w:hAnsiTheme="minorHAnsi" w:cstheme="minorHAnsi"/>
        </w:rPr>
        <w:t xml:space="preserve"> </w:t>
      </w:r>
      <w:r w:rsidR="00D425DC" w:rsidRPr="00313D4E">
        <w:rPr>
          <w:rFonts w:asciiTheme="minorHAnsi" w:hAnsiTheme="minorHAnsi" w:cstheme="minorHAnsi"/>
          <w:bCs/>
        </w:rPr>
        <w:t xml:space="preserve">Compartmentalisation of all types (reverse cohorting, shielding and protective isolation) should be treated as a </w:t>
      </w:r>
      <w:r w:rsidR="00D425DC" w:rsidRPr="00313D4E">
        <w:rPr>
          <w:rFonts w:asciiTheme="minorHAnsi" w:hAnsiTheme="minorHAnsi" w:cstheme="minorHAnsi"/>
          <w:b/>
        </w:rPr>
        <w:t>process</w:t>
      </w:r>
      <w:r w:rsidR="00D425DC" w:rsidRPr="00313D4E">
        <w:rPr>
          <w:rFonts w:asciiTheme="minorHAnsi" w:hAnsiTheme="minorHAnsi" w:cstheme="minorHAnsi"/>
          <w:bCs/>
        </w:rPr>
        <w:t xml:space="preserve"> rather than a unit as per the Compartmentalisation Guidance (accessible </w:t>
      </w:r>
      <w:hyperlink r:id="rId11" w:history="1">
        <w:r w:rsidR="00D425DC" w:rsidRPr="00313D4E">
          <w:rPr>
            <w:rStyle w:val="Hyperlink"/>
            <w:rFonts w:asciiTheme="minorHAnsi" w:hAnsiTheme="minorHAnsi" w:cstheme="minorHAnsi"/>
            <w:bCs/>
          </w:rPr>
          <w:t>here</w:t>
        </w:r>
      </w:hyperlink>
      <w:r w:rsidR="00D425DC" w:rsidRPr="00313D4E">
        <w:rPr>
          <w:rFonts w:asciiTheme="minorHAnsi" w:hAnsiTheme="minorHAnsi" w:cstheme="minorHAnsi"/>
          <w:bCs/>
        </w:rPr>
        <w:t xml:space="preserve">).  </w:t>
      </w:r>
      <w:r w:rsidR="00D425DC" w:rsidRPr="00313D4E">
        <w:rPr>
          <w:rFonts w:asciiTheme="minorHAnsi" w:hAnsiTheme="minorHAnsi" w:cstheme="minorHAnsi"/>
        </w:rPr>
        <w:t xml:space="preserve">So long as regimes are managed separately to ensure there is no mixing of cohorts, cohorting prisoners can </w:t>
      </w:r>
      <w:proofErr w:type="gramStart"/>
      <w:r w:rsidR="00D425DC" w:rsidRPr="00313D4E">
        <w:rPr>
          <w:rFonts w:asciiTheme="minorHAnsi" w:hAnsiTheme="minorHAnsi" w:cstheme="minorHAnsi"/>
        </w:rPr>
        <w:t>be located in</w:t>
      </w:r>
      <w:proofErr w:type="gramEnd"/>
      <w:r w:rsidR="00D425DC" w:rsidRPr="00313D4E">
        <w:rPr>
          <w:rFonts w:asciiTheme="minorHAnsi" w:hAnsiTheme="minorHAnsi" w:cstheme="minorHAnsi"/>
        </w:rPr>
        <w:t xml:space="preserve"> different areas across the establishment and establishments should utilise all available spaces regardless of location. </w:t>
      </w:r>
    </w:p>
    <w:p w14:paraId="08B2E5F7" w14:textId="77777777" w:rsidR="00536DAA" w:rsidRPr="00536DAA" w:rsidRDefault="00536DAA" w:rsidP="00B37FA4">
      <w:pPr>
        <w:jc w:val="both"/>
        <w:rPr>
          <w:rFonts w:eastAsia="Times New Roman" w:cstheme="minorHAnsi"/>
        </w:rPr>
      </w:pPr>
    </w:p>
    <w:p w14:paraId="5701FF54" w14:textId="60DD4363" w:rsidR="00F73E66" w:rsidRDefault="00D425DC" w:rsidP="00B37FA4">
      <w:pPr>
        <w:pStyle w:val="ListParagraph"/>
        <w:numPr>
          <w:ilvl w:val="0"/>
          <w:numId w:val="1"/>
        </w:numPr>
        <w:jc w:val="both"/>
        <w:rPr>
          <w:rFonts w:asciiTheme="minorHAnsi" w:eastAsia="Times New Roman" w:hAnsiTheme="minorHAnsi" w:cstheme="minorHAnsi"/>
        </w:rPr>
      </w:pPr>
      <w:r w:rsidRPr="00313D4E">
        <w:rPr>
          <w:rFonts w:asciiTheme="minorHAnsi" w:eastAsia="Times New Roman" w:hAnsiTheme="minorHAnsi" w:cstheme="minorHAnsi"/>
        </w:rPr>
        <w:t>Once all available spaces have been utilised, if the requirement to reverse cohort the prisoner(s) in question</w:t>
      </w:r>
      <w:r w:rsidR="003142D6">
        <w:rPr>
          <w:rFonts w:asciiTheme="minorHAnsi" w:eastAsia="Times New Roman" w:hAnsiTheme="minorHAnsi" w:cstheme="minorHAnsi"/>
        </w:rPr>
        <w:t xml:space="preserve"> is the barrier to accessing spaces then</w:t>
      </w:r>
      <w:r w:rsidRPr="00313D4E">
        <w:rPr>
          <w:rFonts w:asciiTheme="minorHAnsi" w:eastAsia="Times New Roman" w:hAnsiTheme="minorHAnsi" w:cstheme="minorHAnsi"/>
        </w:rPr>
        <w:t xml:space="preserve"> establishments should c</w:t>
      </w:r>
      <w:r w:rsidR="0001227A" w:rsidRPr="00313D4E">
        <w:rPr>
          <w:rFonts w:asciiTheme="minorHAnsi" w:eastAsia="Times New Roman" w:hAnsiTheme="minorHAnsi" w:cstheme="minorHAnsi"/>
        </w:rPr>
        <w:t>onsider</w:t>
      </w:r>
      <w:r w:rsidRPr="00313D4E">
        <w:rPr>
          <w:rFonts w:asciiTheme="minorHAnsi" w:eastAsia="Times New Roman" w:hAnsiTheme="minorHAnsi" w:cstheme="minorHAnsi"/>
        </w:rPr>
        <w:t xml:space="preserve"> </w:t>
      </w:r>
      <w:r w:rsidR="0001227A" w:rsidRPr="00313D4E">
        <w:rPr>
          <w:rFonts w:asciiTheme="minorHAnsi" w:eastAsia="Times New Roman" w:hAnsiTheme="minorHAnsi" w:cstheme="minorHAnsi"/>
        </w:rPr>
        <w:t>whether R</w:t>
      </w:r>
      <w:r w:rsidRPr="00313D4E">
        <w:rPr>
          <w:rFonts w:asciiTheme="minorHAnsi" w:eastAsia="Times New Roman" w:hAnsiTheme="minorHAnsi" w:cstheme="minorHAnsi"/>
        </w:rPr>
        <w:t xml:space="preserve">everse </w:t>
      </w:r>
      <w:r w:rsidR="0001227A" w:rsidRPr="00313D4E">
        <w:rPr>
          <w:rFonts w:asciiTheme="minorHAnsi" w:eastAsia="Times New Roman" w:hAnsiTheme="minorHAnsi" w:cstheme="minorHAnsi"/>
        </w:rPr>
        <w:t>C</w:t>
      </w:r>
      <w:r w:rsidRPr="00313D4E">
        <w:rPr>
          <w:rFonts w:asciiTheme="minorHAnsi" w:eastAsia="Times New Roman" w:hAnsiTheme="minorHAnsi" w:cstheme="minorHAnsi"/>
        </w:rPr>
        <w:t xml:space="preserve">ohorting </w:t>
      </w:r>
      <w:r w:rsidR="0001227A" w:rsidRPr="00313D4E">
        <w:rPr>
          <w:rFonts w:asciiTheme="minorHAnsi" w:eastAsia="Times New Roman" w:hAnsiTheme="minorHAnsi" w:cstheme="minorHAnsi"/>
        </w:rPr>
        <w:t>is feasible for prisoner</w:t>
      </w:r>
      <w:r w:rsidRPr="00313D4E">
        <w:rPr>
          <w:rFonts w:asciiTheme="minorHAnsi" w:eastAsia="Times New Roman" w:hAnsiTheme="minorHAnsi" w:cstheme="minorHAnsi"/>
        </w:rPr>
        <w:t>(s)</w:t>
      </w:r>
      <w:r w:rsidR="00F73E66">
        <w:rPr>
          <w:rFonts w:asciiTheme="minorHAnsi" w:eastAsia="Times New Roman" w:hAnsiTheme="minorHAnsi" w:cstheme="minorHAnsi"/>
        </w:rPr>
        <w:t>.</w:t>
      </w:r>
      <w:r w:rsidR="001C042D">
        <w:rPr>
          <w:rFonts w:asciiTheme="minorHAnsi" w:eastAsia="Times New Roman" w:hAnsiTheme="minorHAnsi" w:cstheme="minorHAnsi"/>
        </w:rPr>
        <w:t xml:space="preserve">  The current policy permits reverse cohorting as a process in any location and therefore in most circumstances reverse cohorting will still be possible, albeit in a different location to where prisoners are normally received in</w:t>
      </w:r>
      <w:r w:rsidR="003142D6">
        <w:rPr>
          <w:rFonts w:asciiTheme="minorHAnsi" w:eastAsia="Times New Roman" w:hAnsiTheme="minorHAnsi" w:cstheme="minorHAnsi"/>
        </w:rPr>
        <w:t>to</w:t>
      </w:r>
      <w:r w:rsidR="001C042D">
        <w:rPr>
          <w:rFonts w:asciiTheme="minorHAnsi" w:eastAsia="Times New Roman" w:hAnsiTheme="minorHAnsi" w:cstheme="minorHAnsi"/>
        </w:rPr>
        <w:t>.  However, l</w:t>
      </w:r>
      <w:r w:rsidR="00653643">
        <w:rPr>
          <w:rFonts w:asciiTheme="minorHAnsi" w:eastAsia="Times New Roman" w:hAnsiTheme="minorHAnsi" w:cstheme="minorHAnsi"/>
        </w:rPr>
        <w:t xml:space="preserve">ocal circumstances will vary, </w:t>
      </w:r>
      <w:r w:rsidR="001C042D">
        <w:rPr>
          <w:rFonts w:asciiTheme="minorHAnsi" w:eastAsia="Times New Roman" w:hAnsiTheme="minorHAnsi" w:cstheme="minorHAnsi"/>
        </w:rPr>
        <w:t xml:space="preserve">and there may still be further </w:t>
      </w:r>
      <w:proofErr w:type="gramStart"/>
      <w:r w:rsidR="001C042D">
        <w:rPr>
          <w:rFonts w:asciiTheme="minorHAnsi" w:eastAsia="Times New Roman" w:hAnsiTheme="minorHAnsi" w:cstheme="minorHAnsi"/>
        </w:rPr>
        <w:t>need</w:t>
      </w:r>
      <w:proofErr w:type="gramEnd"/>
      <w:r w:rsidR="001C042D">
        <w:rPr>
          <w:rFonts w:asciiTheme="minorHAnsi" w:eastAsia="Times New Roman" w:hAnsiTheme="minorHAnsi" w:cstheme="minorHAnsi"/>
        </w:rPr>
        <w:t xml:space="preserve"> to </w:t>
      </w:r>
      <w:r w:rsidR="00653643">
        <w:rPr>
          <w:rFonts w:asciiTheme="minorHAnsi" w:eastAsia="Times New Roman" w:hAnsiTheme="minorHAnsi" w:cstheme="minorHAnsi"/>
        </w:rPr>
        <w:t>create access to additional spaces</w:t>
      </w:r>
      <w:r w:rsidR="001C042D">
        <w:rPr>
          <w:rFonts w:asciiTheme="minorHAnsi" w:eastAsia="Times New Roman" w:hAnsiTheme="minorHAnsi" w:cstheme="minorHAnsi"/>
        </w:rPr>
        <w:t xml:space="preserve"> and therefore </w:t>
      </w:r>
      <w:r w:rsidR="00653643">
        <w:rPr>
          <w:rFonts w:asciiTheme="minorHAnsi" w:eastAsia="Times New Roman" w:hAnsiTheme="minorHAnsi" w:cstheme="minorHAnsi"/>
        </w:rPr>
        <w:t>establishments may wish to consider:</w:t>
      </w:r>
    </w:p>
    <w:p w14:paraId="687900AD" w14:textId="77777777" w:rsidR="00653643" w:rsidRPr="00B37FA4" w:rsidRDefault="00653643" w:rsidP="00B37FA4">
      <w:pPr>
        <w:pStyle w:val="ListParagraph"/>
        <w:jc w:val="both"/>
        <w:rPr>
          <w:rFonts w:asciiTheme="minorHAnsi" w:eastAsia="Times New Roman" w:hAnsiTheme="minorHAnsi" w:cstheme="minorHAnsi"/>
        </w:rPr>
      </w:pPr>
    </w:p>
    <w:p w14:paraId="1C6B4BE7" w14:textId="6D4B6534" w:rsidR="00FC756F" w:rsidRPr="00FC756F" w:rsidRDefault="00FC756F" w:rsidP="00FC756F">
      <w:pPr>
        <w:pStyle w:val="xmsolistparagraph"/>
        <w:numPr>
          <w:ilvl w:val="0"/>
          <w:numId w:val="4"/>
        </w:numPr>
        <w:spacing w:line="276" w:lineRule="auto"/>
        <w:ind w:left="1434" w:hanging="357"/>
        <w:jc w:val="both"/>
        <w:rPr>
          <w:rFonts w:eastAsia="Times New Roman"/>
        </w:rPr>
      </w:pPr>
      <w:r w:rsidRPr="00C03914">
        <w:rPr>
          <w:rFonts w:eastAsia="Times New Roman"/>
        </w:rPr>
        <w:t>Exemption from full reverse cohorting period for those who are fully vaccinated against Covid-19</w:t>
      </w:r>
      <w:r>
        <w:rPr>
          <w:rFonts w:eastAsia="Times New Roman"/>
        </w:rPr>
        <w:t xml:space="preserve"> arriving newly into</w:t>
      </w:r>
      <w:r w:rsidRPr="00CA7801">
        <w:rPr>
          <w:rFonts w:eastAsia="Times New Roman"/>
        </w:rPr>
        <w:t xml:space="preserve"> custody</w:t>
      </w:r>
      <w:r>
        <w:rPr>
          <w:rFonts w:eastAsia="Times New Roman"/>
        </w:rPr>
        <w:t xml:space="preserve"> from the community.</w:t>
      </w:r>
    </w:p>
    <w:p w14:paraId="066BAF7C" w14:textId="6C172B02" w:rsidR="00A83604" w:rsidRDefault="001C042D" w:rsidP="000B5E56">
      <w:pPr>
        <w:pStyle w:val="NoSpacing"/>
        <w:numPr>
          <w:ilvl w:val="0"/>
          <w:numId w:val="4"/>
        </w:numPr>
        <w:spacing w:line="276" w:lineRule="auto"/>
        <w:ind w:left="1434" w:hanging="357"/>
        <w:rPr>
          <w:rFonts w:eastAsia="Times New Roman"/>
        </w:rPr>
      </w:pPr>
      <w:r w:rsidRPr="00CA7801">
        <w:rPr>
          <w:rFonts w:eastAsia="Times New Roman"/>
        </w:rPr>
        <w:t>Exemption from full reverse cohorting period for those who are fully vaccinated against Covid-19</w:t>
      </w:r>
      <w:r>
        <w:rPr>
          <w:rFonts w:eastAsia="Times New Roman"/>
        </w:rPr>
        <w:t xml:space="preserve"> on inter prison transfer. </w:t>
      </w:r>
    </w:p>
    <w:p w14:paraId="4FD9E39C" w14:textId="0D348F4D" w:rsidR="004567A4" w:rsidRPr="004567A4" w:rsidRDefault="004567A4" w:rsidP="004567A4">
      <w:pPr>
        <w:pStyle w:val="xmsolistparagraph"/>
        <w:numPr>
          <w:ilvl w:val="0"/>
          <w:numId w:val="4"/>
        </w:numPr>
        <w:spacing w:line="276" w:lineRule="auto"/>
        <w:ind w:left="1434" w:hanging="357"/>
        <w:jc w:val="both"/>
        <w:rPr>
          <w:rFonts w:eastAsia="Times New Roman"/>
        </w:rPr>
      </w:pPr>
      <w:r>
        <w:rPr>
          <w:rFonts w:eastAsia="Times New Roman"/>
        </w:rPr>
        <w:t xml:space="preserve">Only </w:t>
      </w:r>
      <w:proofErr w:type="spellStart"/>
      <w:r w:rsidRPr="00CA7801">
        <w:rPr>
          <w:rFonts w:eastAsia="Times New Roman"/>
        </w:rPr>
        <w:t>RCing</w:t>
      </w:r>
      <w:proofErr w:type="spellEnd"/>
      <w:r w:rsidRPr="00CA7801">
        <w:rPr>
          <w:rFonts w:eastAsia="Times New Roman"/>
        </w:rPr>
        <w:t xml:space="preserve"> prisoners who have transferred from sites marked as ‘Red’ by the heatmap. </w:t>
      </w:r>
    </w:p>
    <w:p w14:paraId="5F0E570F" w14:textId="46D8CE35" w:rsidR="00B10C0F" w:rsidRPr="00A83604" w:rsidRDefault="00B10C0F" w:rsidP="000B5E56">
      <w:pPr>
        <w:pStyle w:val="NoSpacing"/>
        <w:numPr>
          <w:ilvl w:val="0"/>
          <w:numId w:val="4"/>
        </w:numPr>
        <w:spacing w:line="276" w:lineRule="auto"/>
        <w:ind w:left="1434" w:hanging="357"/>
        <w:rPr>
          <w:rFonts w:eastAsia="Times New Roman"/>
        </w:rPr>
      </w:pPr>
      <w:r w:rsidRPr="00A83604">
        <w:rPr>
          <w:rFonts w:eastAsia="Times New Roman"/>
        </w:rPr>
        <w:t>Co-locating prisoners received into RC conditions on different days (keeping both for the duration informed by the prisoner last into RC or released from RC when a double negative test is received)</w:t>
      </w:r>
    </w:p>
    <w:p w14:paraId="442EBE1B" w14:textId="77777777" w:rsidR="00B10C0F" w:rsidRDefault="00B10C0F" w:rsidP="000B5E56">
      <w:pPr>
        <w:pStyle w:val="xmsolistparagraph"/>
        <w:numPr>
          <w:ilvl w:val="0"/>
          <w:numId w:val="4"/>
        </w:numPr>
        <w:spacing w:line="276" w:lineRule="auto"/>
        <w:ind w:left="1434" w:hanging="357"/>
        <w:jc w:val="both"/>
        <w:rPr>
          <w:rFonts w:eastAsia="Times New Roman"/>
        </w:rPr>
      </w:pPr>
      <w:r>
        <w:rPr>
          <w:rFonts w:eastAsia="Times New Roman"/>
        </w:rPr>
        <w:t>Shortening the time of some prisoners in RC conditions (though still maintaining some limits on full regime participation for the period on the wing)</w:t>
      </w:r>
    </w:p>
    <w:p w14:paraId="503FDB9D" w14:textId="647D901D" w:rsidR="00B10C0F" w:rsidRDefault="00B10C0F" w:rsidP="000B5E56">
      <w:pPr>
        <w:pStyle w:val="xmsolistparagraph"/>
        <w:numPr>
          <w:ilvl w:val="0"/>
          <w:numId w:val="4"/>
        </w:numPr>
        <w:spacing w:line="276" w:lineRule="auto"/>
        <w:ind w:left="1434" w:hanging="357"/>
        <w:jc w:val="both"/>
        <w:rPr>
          <w:rFonts w:eastAsia="Times New Roman"/>
        </w:rPr>
      </w:pPr>
      <w:r>
        <w:rPr>
          <w:rFonts w:eastAsia="Times New Roman"/>
        </w:rPr>
        <w:t>Locating an individual in an available space and if full RC as a process can’t be achieved then aiming to reduce contact, limit regime access and require their wearing of an FRSM when out of cell for the first 10 days.</w:t>
      </w:r>
    </w:p>
    <w:p w14:paraId="3ED0B9E9" w14:textId="77777777" w:rsidR="00653643" w:rsidRDefault="00653643" w:rsidP="00E50CE8">
      <w:pPr>
        <w:pStyle w:val="xmsolistparagraph"/>
        <w:rPr>
          <w:rFonts w:asciiTheme="minorHAnsi" w:eastAsia="Times New Roman" w:hAnsiTheme="minorHAnsi" w:cstheme="minorHAnsi"/>
        </w:rPr>
      </w:pPr>
    </w:p>
    <w:p w14:paraId="57897B3B" w14:textId="5F3AEBDE" w:rsidR="00D425DC" w:rsidRDefault="00B10C0F" w:rsidP="00B37FA4">
      <w:pPr>
        <w:pStyle w:val="ListParagraph"/>
        <w:jc w:val="both"/>
        <w:rPr>
          <w:rFonts w:asciiTheme="minorHAnsi" w:eastAsia="Times New Roman" w:hAnsiTheme="minorHAnsi" w:cstheme="minorHAnsi"/>
        </w:rPr>
      </w:pPr>
      <w:r>
        <w:rPr>
          <w:rFonts w:asciiTheme="minorHAnsi" w:eastAsia="Times New Roman" w:hAnsiTheme="minorHAnsi" w:cstheme="minorHAnsi"/>
        </w:rPr>
        <w:t xml:space="preserve">When </w:t>
      </w:r>
      <w:r w:rsidR="00637BF3">
        <w:rPr>
          <w:rFonts w:asciiTheme="minorHAnsi" w:eastAsia="Times New Roman" w:hAnsiTheme="minorHAnsi" w:cstheme="minorHAnsi"/>
        </w:rPr>
        <w:t>considering the options above</w:t>
      </w:r>
      <w:r w:rsidR="00232C39">
        <w:rPr>
          <w:rFonts w:asciiTheme="minorHAnsi" w:eastAsia="Times New Roman" w:hAnsiTheme="minorHAnsi" w:cstheme="minorHAnsi"/>
        </w:rPr>
        <w:t xml:space="preserve">, it will be necessary to consider the local risk picture. The establishments outbreak status and local community risk (both </w:t>
      </w:r>
      <w:r w:rsidR="00C93AE1">
        <w:rPr>
          <w:rFonts w:asciiTheme="minorHAnsi" w:eastAsia="Times New Roman" w:hAnsiTheme="minorHAnsi" w:cstheme="minorHAnsi"/>
        </w:rPr>
        <w:t>reflected</w:t>
      </w:r>
      <w:r w:rsidR="00232C39">
        <w:rPr>
          <w:rFonts w:asciiTheme="minorHAnsi" w:eastAsia="Times New Roman" w:hAnsiTheme="minorHAnsi" w:cstheme="minorHAnsi"/>
        </w:rPr>
        <w:t xml:space="preserve"> in establishment RAG rating, available </w:t>
      </w:r>
      <w:hyperlink r:id="rId12" w:history="1">
        <w:r w:rsidR="00232C39" w:rsidRPr="00C93AE1">
          <w:rPr>
            <w:rStyle w:val="Hyperlink"/>
            <w:rFonts w:asciiTheme="minorHAnsi" w:eastAsia="Times New Roman" w:hAnsiTheme="minorHAnsi" w:cstheme="minorHAnsi"/>
          </w:rPr>
          <w:t>here</w:t>
        </w:r>
      </w:hyperlink>
      <w:r w:rsidR="00232C39">
        <w:rPr>
          <w:rFonts w:asciiTheme="minorHAnsi" w:eastAsia="Times New Roman" w:hAnsiTheme="minorHAnsi" w:cstheme="minorHAnsi"/>
        </w:rPr>
        <w:t>)</w:t>
      </w:r>
      <w:r w:rsidR="00262BD0">
        <w:rPr>
          <w:rFonts w:asciiTheme="minorHAnsi" w:eastAsia="Times New Roman" w:hAnsiTheme="minorHAnsi" w:cstheme="minorHAnsi"/>
        </w:rPr>
        <w:t xml:space="preserve">, </w:t>
      </w:r>
      <w:r w:rsidR="004F444C">
        <w:rPr>
          <w:rFonts w:asciiTheme="minorHAnsi" w:eastAsia="Times New Roman" w:hAnsiTheme="minorHAnsi" w:cstheme="minorHAnsi"/>
        </w:rPr>
        <w:t>consideration</w:t>
      </w:r>
      <w:r w:rsidR="00262BD0">
        <w:rPr>
          <w:rFonts w:asciiTheme="minorHAnsi" w:eastAsia="Times New Roman" w:hAnsiTheme="minorHAnsi" w:cstheme="minorHAnsi"/>
        </w:rPr>
        <w:t xml:space="preserve"> of the vaccination status of the prisoners in </w:t>
      </w:r>
      <w:r w:rsidR="00262BD0">
        <w:rPr>
          <w:rFonts w:asciiTheme="minorHAnsi" w:eastAsia="Times New Roman" w:hAnsiTheme="minorHAnsi" w:cstheme="minorHAnsi"/>
        </w:rPr>
        <w:lastRenderedPageBreak/>
        <w:t xml:space="preserve">question, the vulnerability of the wider prison population and the overall safety of the individual(s) who may be locked out if not taken into custody. </w:t>
      </w:r>
    </w:p>
    <w:p w14:paraId="727797EF" w14:textId="77777777" w:rsidR="00330D45" w:rsidRDefault="00330D45" w:rsidP="00B37FA4">
      <w:pPr>
        <w:pStyle w:val="ListParagraph"/>
        <w:jc w:val="both"/>
        <w:rPr>
          <w:rFonts w:asciiTheme="minorHAnsi" w:eastAsia="Times New Roman" w:hAnsiTheme="minorHAnsi" w:cstheme="minorHAnsi"/>
        </w:rPr>
      </w:pPr>
    </w:p>
    <w:p w14:paraId="2768218B" w14:textId="5F3D595D" w:rsidR="009D01E6" w:rsidRPr="00523784" w:rsidRDefault="00330D45" w:rsidP="00523784">
      <w:pPr>
        <w:ind w:left="720"/>
        <w:jc w:val="both"/>
      </w:pPr>
      <w:r>
        <w:t xml:space="preserve">The purpose of reverse cohorting is to maintain separation between new arrivals and the rest of the population and therefore to control the risk that a prisoner new to an establishment seeds and outbreak.  When considering inter-prison transfers, the </w:t>
      </w:r>
      <w:proofErr w:type="spellStart"/>
      <w:r>
        <w:t>Covid</w:t>
      </w:r>
      <w:proofErr w:type="spellEnd"/>
      <w:r>
        <w:t xml:space="preserve"> risk at the sending establishment is relevant to the local risk assessment. </w:t>
      </w:r>
    </w:p>
    <w:p w14:paraId="38C6D16C" w14:textId="1C2724C8" w:rsidR="00534D71" w:rsidRPr="00B37FA4" w:rsidRDefault="009D01E6" w:rsidP="00523784">
      <w:pPr>
        <w:ind w:left="720"/>
        <w:jc w:val="both"/>
      </w:pPr>
      <w:r>
        <w:t xml:space="preserve">It remains the case that the dominant risk of incursion of infection to a prison is through staff.  If pressures are affecting an establishment and may lead to a lessening of some controls, it is helpful to consider whether it is possible to enhance other controls, such as </w:t>
      </w:r>
      <w:r w:rsidR="00B721EB">
        <w:t xml:space="preserve">increased prisoner and </w:t>
      </w:r>
      <w:r>
        <w:t xml:space="preserve">staff testing and more general compliance with controls which may have lapsed due to fatigue. </w:t>
      </w:r>
    </w:p>
    <w:p w14:paraId="15EB7042" w14:textId="75A6FB88" w:rsidR="00D425DC" w:rsidRPr="00313D4E" w:rsidRDefault="00D425DC" w:rsidP="00B37FA4">
      <w:pPr>
        <w:pStyle w:val="ListParagraph"/>
        <w:numPr>
          <w:ilvl w:val="0"/>
          <w:numId w:val="1"/>
        </w:numPr>
        <w:jc w:val="both"/>
        <w:rPr>
          <w:rFonts w:asciiTheme="minorHAnsi" w:eastAsia="Times New Roman" w:hAnsiTheme="minorHAnsi" w:cstheme="minorHAnsi"/>
        </w:rPr>
      </w:pPr>
      <w:r w:rsidRPr="00313D4E">
        <w:rPr>
          <w:rFonts w:asciiTheme="minorHAnsi" w:eastAsia="Times New Roman" w:hAnsiTheme="minorHAnsi" w:cstheme="minorHAnsi"/>
        </w:rPr>
        <w:t xml:space="preserve">Any exceptional decisions made must be </w:t>
      </w:r>
      <w:r w:rsidR="001C042D">
        <w:rPr>
          <w:rFonts w:asciiTheme="minorHAnsi" w:eastAsia="Times New Roman" w:hAnsiTheme="minorHAnsi" w:cstheme="minorHAnsi"/>
        </w:rPr>
        <w:t xml:space="preserve">approved </w:t>
      </w:r>
      <w:r w:rsidR="00534D71">
        <w:rPr>
          <w:rFonts w:asciiTheme="minorHAnsi" w:eastAsia="Times New Roman" w:hAnsiTheme="minorHAnsi" w:cstheme="minorHAnsi"/>
        </w:rPr>
        <w:t xml:space="preserve">by the </w:t>
      </w:r>
      <w:r w:rsidR="001C042D">
        <w:rPr>
          <w:rFonts w:asciiTheme="minorHAnsi" w:eastAsia="Times New Roman" w:hAnsiTheme="minorHAnsi" w:cstheme="minorHAnsi"/>
        </w:rPr>
        <w:t xml:space="preserve">Governor </w:t>
      </w:r>
      <w:r w:rsidR="00FC1E81">
        <w:rPr>
          <w:rFonts w:asciiTheme="minorHAnsi" w:eastAsia="Times New Roman" w:hAnsiTheme="minorHAnsi" w:cstheme="minorHAnsi"/>
        </w:rPr>
        <w:t xml:space="preserve">IC </w:t>
      </w:r>
      <w:r w:rsidR="00534D71">
        <w:rPr>
          <w:rFonts w:asciiTheme="minorHAnsi" w:eastAsia="Times New Roman" w:hAnsiTheme="minorHAnsi" w:cstheme="minorHAnsi"/>
        </w:rPr>
        <w:t xml:space="preserve">and </w:t>
      </w:r>
      <w:r w:rsidRPr="00313D4E">
        <w:rPr>
          <w:rFonts w:asciiTheme="minorHAnsi" w:eastAsia="Times New Roman" w:hAnsiTheme="minorHAnsi" w:cstheme="minorHAnsi"/>
        </w:rPr>
        <w:t xml:space="preserve">recorded in the establishment’s COVID-19 </w:t>
      </w:r>
      <w:r w:rsidR="0001227A" w:rsidRPr="00313D4E">
        <w:rPr>
          <w:rFonts w:asciiTheme="minorHAnsi" w:eastAsia="Times New Roman" w:hAnsiTheme="minorHAnsi" w:cstheme="minorHAnsi"/>
        </w:rPr>
        <w:t>D</w:t>
      </w:r>
      <w:r w:rsidRPr="00313D4E">
        <w:rPr>
          <w:rFonts w:asciiTheme="minorHAnsi" w:eastAsia="Times New Roman" w:hAnsiTheme="minorHAnsi" w:cstheme="minorHAnsi"/>
        </w:rPr>
        <w:t xml:space="preserve">efensible </w:t>
      </w:r>
      <w:r w:rsidR="0001227A" w:rsidRPr="00313D4E">
        <w:rPr>
          <w:rFonts w:asciiTheme="minorHAnsi" w:eastAsia="Times New Roman" w:hAnsiTheme="minorHAnsi" w:cstheme="minorHAnsi"/>
        </w:rPr>
        <w:t>D</w:t>
      </w:r>
      <w:r w:rsidRPr="00313D4E">
        <w:rPr>
          <w:rFonts w:asciiTheme="minorHAnsi" w:eastAsia="Times New Roman" w:hAnsiTheme="minorHAnsi" w:cstheme="minorHAnsi"/>
        </w:rPr>
        <w:t>ecision</w:t>
      </w:r>
      <w:r w:rsidR="0001227A" w:rsidRPr="00313D4E">
        <w:rPr>
          <w:rFonts w:asciiTheme="minorHAnsi" w:eastAsia="Times New Roman" w:hAnsiTheme="minorHAnsi" w:cstheme="minorHAnsi"/>
        </w:rPr>
        <w:t xml:space="preserve"> </w:t>
      </w:r>
      <w:r w:rsidRPr="00313D4E">
        <w:rPr>
          <w:rFonts w:asciiTheme="minorHAnsi" w:eastAsia="Times New Roman" w:hAnsiTheme="minorHAnsi" w:cstheme="minorHAnsi"/>
        </w:rPr>
        <w:t>log</w:t>
      </w:r>
      <w:r w:rsidR="00FC1E81">
        <w:rPr>
          <w:rFonts w:asciiTheme="minorHAnsi" w:eastAsia="Times New Roman" w:hAnsiTheme="minorHAnsi" w:cstheme="minorHAnsi"/>
        </w:rPr>
        <w:t xml:space="preserve"> and will form part of the decision to lock out or not by the PGD.  </w:t>
      </w:r>
      <w:r w:rsidR="003142D6">
        <w:rPr>
          <w:rFonts w:asciiTheme="minorHAnsi" w:eastAsia="Times New Roman" w:hAnsiTheme="minorHAnsi" w:cstheme="minorHAnsi"/>
        </w:rPr>
        <w:t xml:space="preserve">It remains public health advice that compartmentalisation is maintained but we must consider all risks that we are responsible for as HMPPS.  This process therefore gives support to local decisions to balance these risks but should be used </w:t>
      </w:r>
      <w:r w:rsidR="003142D6" w:rsidRPr="00C857E3">
        <w:rPr>
          <w:rFonts w:asciiTheme="minorHAnsi" w:eastAsia="Times New Roman" w:hAnsiTheme="minorHAnsi" w:cstheme="minorHAnsi"/>
          <w:b/>
          <w:bCs/>
        </w:rPr>
        <w:t>exceptionally</w:t>
      </w:r>
      <w:r w:rsidR="00FC1E81">
        <w:rPr>
          <w:rFonts w:asciiTheme="minorHAnsi" w:eastAsia="Times New Roman" w:hAnsiTheme="minorHAnsi" w:cstheme="minorHAnsi"/>
        </w:rPr>
        <w:t xml:space="preserve"> where lockouts would result rather than routine practice.</w:t>
      </w:r>
    </w:p>
    <w:p w14:paraId="5E79D2A1" w14:textId="77777777" w:rsidR="00D425DC" w:rsidRPr="00313D4E" w:rsidRDefault="00D425DC" w:rsidP="00B37FA4">
      <w:pPr>
        <w:pStyle w:val="ListParagraph"/>
        <w:jc w:val="both"/>
        <w:rPr>
          <w:rFonts w:asciiTheme="minorHAnsi" w:eastAsia="Times New Roman" w:hAnsiTheme="minorHAnsi" w:cstheme="minorHAnsi"/>
        </w:rPr>
      </w:pPr>
    </w:p>
    <w:p w14:paraId="6727D966" w14:textId="00D4CA05" w:rsidR="000F30FA" w:rsidRDefault="00D425DC" w:rsidP="00330D45">
      <w:pPr>
        <w:pStyle w:val="ListParagraph"/>
        <w:jc w:val="both"/>
      </w:pPr>
      <w:r w:rsidRPr="00313D4E">
        <w:rPr>
          <w:rFonts w:asciiTheme="minorHAnsi" w:eastAsia="Times New Roman" w:hAnsiTheme="minorHAnsi" w:cstheme="minorHAnsi"/>
        </w:rPr>
        <w:t xml:space="preserve">COVID-19 </w:t>
      </w:r>
      <w:r w:rsidR="0001227A" w:rsidRPr="00313D4E">
        <w:rPr>
          <w:rFonts w:asciiTheme="minorHAnsi" w:eastAsia="Times New Roman" w:hAnsiTheme="minorHAnsi" w:cstheme="minorHAnsi"/>
        </w:rPr>
        <w:t xml:space="preserve">Gold </w:t>
      </w:r>
      <w:r w:rsidR="00FC1E81">
        <w:rPr>
          <w:rFonts w:asciiTheme="minorHAnsi" w:eastAsia="Times New Roman" w:hAnsiTheme="minorHAnsi" w:cstheme="minorHAnsi"/>
        </w:rPr>
        <w:t xml:space="preserve">or Incident Gold </w:t>
      </w:r>
      <w:r w:rsidR="0001227A" w:rsidRPr="00313D4E">
        <w:rPr>
          <w:rFonts w:asciiTheme="minorHAnsi" w:eastAsia="Times New Roman" w:hAnsiTheme="minorHAnsi" w:cstheme="minorHAnsi"/>
        </w:rPr>
        <w:t>may need to direct</w:t>
      </w:r>
      <w:r w:rsidRPr="00313D4E">
        <w:rPr>
          <w:rFonts w:asciiTheme="minorHAnsi" w:eastAsia="Times New Roman" w:hAnsiTheme="minorHAnsi" w:cstheme="minorHAnsi"/>
        </w:rPr>
        <w:t xml:space="preserve"> the</w:t>
      </w:r>
      <w:r w:rsidR="0001227A" w:rsidRPr="00313D4E">
        <w:rPr>
          <w:rFonts w:asciiTheme="minorHAnsi" w:eastAsia="Times New Roman" w:hAnsiTheme="minorHAnsi" w:cstheme="minorHAnsi"/>
        </w:rPr>
        <w:t xml:space="preserve"> PGD and </w:t>
      </w:r>
      <w:r w:rsidRPr="00313D4E">
        <w:rPr>
          <w:rFonts w:asciiTheme="minorHAnsi" w:eastAsia="Times New Roman" w:hAnsiTheme="minorHAnsi" w:cstheme="minorHAnsi"/>
        </w:rPr>
        <w:t>establishment</w:t>
      </w:r>
      <w:r w:rsidR="0001227A" w:rsidRPr="00313D4E">
        <w:rPr>
          <w:rFonts w:asciiTheme="minorHAnsi" w:eastAsia="Times New Roman" w:hAnsiTheme="minorHAnsi" w:cstheme="minorHAnsi"/>
        </w:rPr>
        <w:t xml:space="preserve"> to take prisoner</w:t>
      </w:r>
      <w:r w:rsidR="00B867EE">
        <w:rPr>
          <w:rFonts w:asciiTheme="minorHAnsi" w:eastAsia="Times New Roman" w:hAnsiTheme="minorHAnsi" w:cstheme="minorHAnsi"/>
        </w:rPr>
        <w:t>s</w:t>
      </w:r>
      <w:r w:rsidR="0001227A" w:rsidRPr="00313D4E">
        <w:rPr>
          <w:rFonts w:asciiTheme="minorHAnsi" w:eastAsia="Times New Roman" w:hAnsiTheme="minorHAnsi" w:cstheme="minorHAnsi"/>
        </w:rPr>
        <w:t xml:space="preserve"> and record a defensible decision based on public protection and safety risk outweighing COVID risk.</w:t>
      </w:r>
      <w:r w:rsidR="000F30FA" w:rsidRPr="000F30FA">
        <w:rPr>
          <w:rFonts w:cstheme="minorHAnsi"/>
          <w:bCs/>
        </w:rPr>
        <w:t xml:space="preserve"> </w:t>
      </w:r>
      <w:r w:rsidR="000F30FA">
        <w:rPr>
          <w:rFonts w:cstheme="minorHAnsi"/>
          <w:bCs/>
        </w:rPr>
        <w:t xml:space="preserve">Police colleagues are not obliged to take prisoners who are locked out and therefore </w:t>
      </w:r>
      <w:r w:rsidR="000F30FA">
        <w:t>a decision to receive may also be enforced by not having any other suitable location to secure the prisoner and the need to protect the public.</w:t>
      </w:r>
    </w:p>
    <w:p w14:paraId="738B94E6" w14:textId="5D931B59" w:rsidR="00812301" w:rsidRDefault="00812301" w:rsidP="00330D45">
      <w:pPr>
        <w:pStyle w:val="ListParagraph"/>
        <w:jc w:val="both"/>
      </w:pPr>
    </w:p>
    <w:p w14:paraId="244B238B" w14:textId="3D918F66" w:rsidR="00FC1E81" w:rsidRDefault="00195970" w:rsidP="0072699D">
      <w:pPr>
        <w:pStyle w:val="ListParagraph"/>
        <w:numPr>
          <w:ilvl w:val="0"/>
          <w:numId w:val="1"/>
        </w:numPr>
        <w:tabs>
          <w:tab w:val="left" w:pos="0"/>
        </w:tabs>
        <w:jc w:val="both"/>
      </w:pPr>
      <w:r>
        <w:t>Exceptional decisions applied temporarily to respond to a</w:t>
      </w:r>
      <w:r w:rsidR="00646B38">
        <w:t xml:space="preserve">n operational pressure must be reviewed </w:t>
      </w:r>
      <w:r w:rsidR="00FC1E81">
        <w:t xml:space="preserve">within </w:t>
      </w:r>
      <w:r w:rsidR="00FC1E81" w:rsidRPr="00AA7CBF">
        <w:rPr>
          <w:b/>
          <w:bCs/>
        </w:rPr>
        <w:t>24hrs</w:t>
      </w:r>
      <w:r w:rsidR="00FC1E81">
        <w:t xml:space="preserve"> to consider whether the risk can be mitigated in a different manner (</w:t>
      </w:r>
      <w:proofErr w:type="spellStart"/>
      <w:r w:rsidR="00FC1E81">
        <w:t>ie</w:t>
      </w:r>
      <w:proofErr w:type="spellEnd"/>
      <w:r w:rsidR="00FC1E81">
        <w:t>. once spaces are created the following day with discharges this may prompt a different approach)</w:t>
      </w:r>
      <w:r w:rsidR="00646B38">
        <w:t xml:space="preserve">. Any decision to continue the </w:t>
      </w:r>
      <w:r w:rsidR="00145662">
        <w:t xml:space="preserve">reduction in controls must be recorded via the defensible decision log. </w:t>
      </w:r>
    </w:p>
    <w:p w14:paraId="0A2AAF7D" w14:textId="77777777" w:rsidR="00FC1E81" w:rsidRDefault="00FC1E81" w:rsidP="00E50CE8">
      <w:pPr>
        <w:pStyle w:val="ListParagraph"/>
        <w:tabs>
          <w:tab w:val="left" w:pos="0"/>
        </w:tabs>
        <w:jc w:val="both"/>
      </w:pPr>
    </w:p>
    <w:p w14:paraId="73FE1BA2" w14:textId="551CA999" w:rsidR="0072699D" w:rsidRDefault="00332D8C" w:rsidP="0072699D">
      <w:pPr>
        <w:pStyle w:val="ListParagraph"/>
        <w:numPr>
          <w:ilvl w:val="0"/>
          <w:numId w:val="1"/>
        </w:numPr>
        <w:tabs>
          <w:tab w:val="left" w:pos="0"/>
        </w:tabs>
        <w:jc w:val="both"/>
      </w:pPr>
      <w:proofErr w:type="gramStart"/>
      <w:r>
        <w:t>In the event that</w:t>
      </w:r>
      <w:proofErr w:type="gramEnd"/>
      <w:r>
        <w:t xml:space="preserve"> establishments have considered all available options as outlined above but a</w:t>
      </w:r>
      <w:r w:rsidR="00E85272">
        <w:t xml:space="preserve">re still unable to achieve the capacity required to avoid locking out, the </w:t>
      </w:r>
      <w:r w:rsidR="00150782">
        <w:t xml:space="preserve">decision to lock out </w:t>
      </w:r>
      <w:r w:rsidR="00FC1E81">
        <w:t xml:space="preserve">must be taken </w:t>
      </w:r>
      <w:r w:rsidR="00150782">
        <w:t xml:space="preserve">by the PGD. </w:t>
      </w:r>
      <w:r w:rsidR="00FC1E81">
        <w:t xml:space="preserve"> </w:t>
      </w:r>
      <w:r w:rsidR="00FF6B65">
        <w:t xml:space="preserve">As part of this process, the establishment must be able to evidence </w:t>
      </w:r>
      <w:r w:rsidR="00615068">
        <w:t xml:space="preserve">why the various options within </w:t>
      </w:r>
      <w:r w:rsidR="00FC1E81">
        <w:t xml:space="preserve">the </w:t>
      </w:r>
      <w:r w:rsidR="00615068">
        <w:t xml:space="preserve">cohorting guidance </w:t>
      </w:r>
      <w:r w:rsidR="00FC1E81">
        <w:t xml:space="preserve">and this exceptional contingency </w:t>
      </w:r>
      <w:r w:rsidR="00615068">
        <w:t xml:space="preserve">could not achieve the required capacity. A template has been provided </w:t>
      </w:r>
      <w:r w:rsidR="00FC1E81">
        <w:t xml:space="preserve">below to guide this process, for </w:t>
      </w:r>
      <w:r w:rsidR="00615068">
        <w:t>complet</w:t>
      </w:r>
      <w:r w:rsidR="00FC1E81">
        <w:t>ion</w:t>
      </w:r>
      <w:r w:rsidR="00615068">
        <w:t xml:space="preserve"> by the Duty Governor (or </w:t>
      </w:r>
      <w:r w:rsidR="00FC1E81">
        <w:t>IC</w:t>
      </w:r>
      <w:r w:rsidR="00615068">
        <w:t xml:space="preserve"> making the decision to lock out) and then submitted to the PGD for agreement to lock out. Establishments cannot make the decision to lock out without PGD agreement</w:t>
      </w:r>
      <w:r w:rsidR="00655169">
        <w:t xml:space="preserve">, and this is not a local decision. </w:t>
      </w:r>
    </w:p>
    <w:p w14:paraId="76996FE2" w14:textId="77777777" w:rsidR="00615068" w:rsidRPr="000F30FA" w:rsidRDefault="00615068" w:rsidP="00B37FA4">
      <w:pPr>
        <w:pStyle w:val="ListParagraph"/>
        <w:tabs>
          <w:tab w:val="left" w:pos="0"/>
        </w:tabs>
        <w:jc w:val="both"/>
      </w:pPr>
    </w:p>
    <w:p w14:paraId="645907DA" w14:textId="41C2A069" w:rsidR="00D425DC" w:rsidRDefault="00D425DC" w:rsidP="00B37FA4">
      <w:pPr>
        <w:jc w:val="both"/>
        <w:rPr>
          <w:rFonts w:cstheme="minorHAnsi"/>
          <w:b/>
          <w:bCs/>
        </w:rPr>
      </w:pPr>
      <w:r w:rsidRPr="00B37FA4">
        <w:rPr>
          <w:rFonts w:cstheme="minorHAnsi"/>
          <w:b/>
          <w:bCs/>
        </w:rPr>
        <w:t xml:space="preserve">Please direct any queries on this matter to </w:t>
      </w:r>
      <w:hyperlink r:id="rId13" w:history="1">
        <w:r w:rsidRPr="00B37FA4">
          <w:rPr>
            <w:rStyle w:val="Hyperlink"/>
            <w:rFonts w:cstheme="minorHAnsi"/>
            <w:b/>
            <w:bCs/>
          </w:rPr>
          <w:t>COVID19.RegimesOpsGuidance1@justice.gov.uk</w:t>
        </w:r>
      </w:hyperlink>
      <w:r w:rsidRPr="00B37FA4">
        <w:rPr>
          <w:rFonts w:cstheme="minorHAnsi"/>
          <w:b/>
          <w:bCs/>
        </w:rPr>
        <w:t xml:space="preserve"> in the first instance.  </w:t>
      </w:r>
    </w:p>
    <w:p w14:paraId="62E9185D" w14:textId="77777777" w:rsidR="00C857E3" w:rsidRDefault="000434AB" w:rsidP="00B37FA4">
      <w:pPr>
        <w:jc w:val="both"/>
        <w:rPr>
          <w:rFonts w:cstheme="minorHAnsi"/>
          <w:b/>
          <w:bCs/>
        </w:rPr>
      </w:pPr>
      <w:r>
        <w:rPr>
          <w:rFonts w:cstheme="minorHAnsi"/>
          <w:b/>
          <w:bCs/>
        </w:rPr>
        <w:t xml:space="preserve">Annex </w:t>
      </w:r>
      <w:r w:rsidR="00C45D2D">
        <w:rPr>
          <w:rFonts w:cstheme="minorHAnsi"/>
          <w:b/>
          <w:bCs/>
        </w:rPr>
        <w:t>– Template for Locking-Out Decision Making</w:t>
      </w:r>
    </w:p>
    <w:p w14:paraId="4823DC2B" w14:textId="197FFF28" w:rsidR="00C45D2D" w:rsidRDefault="00C45D2D" w:rsidP="00B37FA4">
      <w:pPr>
        <w:jc w:val="both"/>
      </w:pPr>
      <w:r>
        <w:rPr>
          <w:rFonts w:cstheme="minorHAnsi"/>
          <w:b/>
          <w:bCs/>
        </w:rPr>
        <w:t xml:space="preserve"> </w:t>
      </w:r>
      <w:bookmarkStart w:id="1" w:name="_MON_1696047130"/>
      <w:bookmarkEnd w:id="1"/>
      <w:r w:rsidR="00D202A9">
        <w:object w:dxaOrig="1504" w:dyaOrig="982" w14:anchorId="5A9B79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3pt;height:49.3pt" o:ole="">
            <v:imagedata r:id="rId14" o:title=""/>
          </v:shape>
          <o:OLEObject Type="Embed" ProgID="Word.Document.12" ShapeID="_x0000_i1025" DrawAspect="Icon" ObjectID="_1698481088" r:id="rId15">
            <o:FieldCodes>\s</o:FieldCodes>
          </o:OLEObject>
        </w:object>
      </w:r>
    </w:p>
    <w:p w14:paraId="31BF2A9C" w14:textId="77777777" w:rsidR="00771B82" w:rsidRPr="00B37FA4" w:rsidRDefault="00771B82" w:rsidP="00B37FA4">
      <w:pPr>
        <w:jc w:val="both"/>
        <w:rPr>
          <w:rFonts w:cstheme="minorHAnsi"/>
          <w:b/>
          <w:bCs/>
        </w:rPr>
      </w:pPr>
    </w:p>
    <w:sectPr w:rsidR="00771B82" w:rsidRPr="00B37FA4">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179F50" w16cex:dateUtc="2021-10-18T06:22:00Z"/>
  <w16cex:commentExtensible w16cex:durableId="2517A425" w16cex:dateUtc="2021-10-18T06:43:00Z"/>
  <w16cex:commentExtensible w16cex:durableId="2517A1F9" w16cex:dateUtc="2021-10-18T06:34:00Z"/>
  <w16cex:commentExtensible w16cex:durableId="2517A33D" w16cex:dateUtc="2021-10-18T06:39:00Z"/>
  <w16cex:commentExtensible w16cex:durableId="2517A074" w16cex:dateUtc="2021-10-18T06:2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667EBD" w14:textId="77777777" w:rsidR="005457CC" w:rsidRDefault="005457CC" w:rsidP="00843F54">
      <w:pPr>
        <w:spacing w:after="0" w:line="240" w:lineRule="auto"/>
      </w:pPr>
      <w:r>
        <w:separator/>
      </w:r>
    </w:p>
  </w:endnote>
  <w:endnote w:type="continuationSeparator" w:id="0">
    <w:p w14:paraId="07F27B6B" w14:textId="77777777" w:rsidR="005457CC" w:rsidRDefault="005457CC" w:rsidP="00843F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02A7FE" w14:textId="77777777" w:rsidR="00843F54" w:rsidRDefault="00843F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4D6F79" w14:textId="77777777" w:rsidR="00843F54" w:rsidRDefault="00843F5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E5AD18" w14:textId="77777777" w:rsidR="00843F54" w:rsidRDefault="00843F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5E80D2" w14:textId="77777777" w:rsidR="005457CC" w:rsidRDefault="005457CC" w:rsidP="00843F54">
      <w:pPr>
        <w:spacing w:after="0" w:line="240" w:lineRule="auto"/>
      </w:pPr>
      <w:r>
        <w:separator/>
      </w:r>
    </w:p>
  </w:footnote>
  <w:footnote w:type="continuationSeparator" w:id="0">
    <w:p w14:paraId="5C7F3A51" w14:textId="77777777" w:rsidR="005457CC" w:rsidRDefault="005457CC" w:rsidP="00843F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F18CB1" w14:textId="46EB36E1" w:rsidR="00843F54" w:rsidRDefault="00843F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F401A8" w14:textId="48DF3F14" w:rsidR="00843F54" w:rsidRDefault="00843F5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7E7679" w14:textId="5F512452" w:rsidR="00843F54" w:rsidRDefault="00843F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D01C9D"/>
    <w:multiLevelType w:val="multilevel"/>
    <w:tmpl w:val="C4625BD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F8B00BA"/>
    <w:multiLevelType w:val="hybridMultilevel"/>
    <w:tmpl w:val="2F24D22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51FF72AD"/>
    <w:multiLevelType w:val="hybridMultilevel"/>
    <w:tmpl w:val="CC7E76D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64A961C9"/>
    <w:multiLevelType w:val="hybridMultilevel"/>
    <w:tmpl w:val="430C8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1"/>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27A"/>
    <w:rsid w:val="0001227A"/>
    <w:rsid w:val="000434AB"/>
    <w:rsid w:val="00066423"/>
    <w:rsid w:val="00072B1A"/>
    <w:rsid w:val="000B5E56"/>
    <w:rsid w:val="000C402E"/>
    <w:rsid w:val="000F30FA"/>
    <w:rsid w:val="00145662"/>
    <w:rsid w:val="00150782"/>
    <w:rsid w:val="001939C6"/>
    <w:rsid w:val="00193D62"/>
    <w:rsid w:val="00195970"/>
    <w:rsid w:val="001B63EF"/>
    <w:rsid w:val="001C042D"/>
    <w:rsid w:val="002252A1"/>
    <w:rsid w:val="00225434"/>
    <w:rsid w:val="00232C39"/>
    <w:rsid w:val="00253E6E"/>
    <w:rsid w:val="00262BD0"/>
    <w:rsid w:val="00290942"/>
    <w:rsid w:val="0029707F"/>
    <w:rsid w:val="002975F0"/>
    <w:rsid w:val="002977DE"/>
    <w:rsid w:val="002A3ACC"/>
    <w:rsid w:val="002B73A9"/>
    <w:rsid w:val="002D652F"/>
    <w:rsid w:val="003039F2"/>
    <w:rsid w:val="00313D4E"/>
    <w:rsid w:val="003142D6"/>
    <w:rsid w:val="00330D45"/>
    <w:rsid w:val="00332D8C"/>
    <w:rsid w:val="003A2B66"/>
    <w:rsid w:val="003D7A41"/>
    <w:rsid w:val="003F5116"/>
    <w:rsid w:val="00414BE3"/>
    <w:rsid w:val="00455BAC"/>
    <w:rsid w:val="004567A4"/>
    <w:rsid w:val="004C1272"/>
    <w:rsid w:val="004D3078"/>
    <w:rsid w:val="004E3991"/>
    <w:rsid w:val="004E7774"/>
    <w:rsid w:val="004F444C"/>
    <w:rsid w:val="004F4EE8"/>
    <w:rsid w:val="00507098"/>
    <w:rsid w:val="00523148"/>
    <w:rsid w:val="00523784"/>
    <w:rsid w:val="00534D71"/>
    <w:rsid w:val="005352E3"/>
    <w:rsid w:val="00536931"/>
    <w:rsid w:val="00536DAA"/>
    <w:rsid w:val="005457CC"/>
    <w:rsid w:val="00580034"/>
    <w:rsid w:val="005B754E"/>
    <w:rsid w:val="005C620A"/>
    <w:rsid w:val="005E2B26"/>
    <w:rsid w:val="00615068"/>
    <w:rsid w:val="00624C16"/>
    <w:rsid w:val="00637BF3"/>
    <w:rsid w:val="00646B38"/>
    <w:rsid w:val="00650BFA"/>
    <w:rsid w:val="00653643"/>
    <w:rsid w:val="00655169"/>
    <w:rsid w:val="00662CA9"/>
    <w:rsid w:val="006672BB"/>
    <w:rsid w:val="00681837"/>
    <w:rsid w:val="006D5DEC"/>
    <w:rsid w:val="0072699D"/>
    <w:rsid w:val="007404DD"/>
    <w:rsid w:val="00771B82"/>
    <w:rsid w:val="007E25A1"/>
    <w:rsid w:val="00812301"/>
    <w:rsid w:val="00835263"/>
    <w:rsid w:val="00843F54"/>
    <w:rsid w:val="00846EA4"/>
    <w:rsid w:val="008556A6"/>
    <w:rsid w:val="008C0EBA"/>
    <w:rsid w:val="008D097D"/>
    <w:rsid w:val="008E3E10"/>
    <w:rsid w:val="009365B6"/>
    <w:rsid w:val="00937C60"/>
    <w:rsid w:val="0094400E"/>
    <w:rsid w:val="00944172"/>
    <w:rsid w:val="00985113"/>
    <w:rsid w:val="00994A73"/>
    <w:rsid w:val="009B30A0"/>
    <w:rsid w:val="009B638E"/>
    <w:rsid w:val="009D01E6"/>
    <w:rsid w:val="00A03A33"/>
    <w:rsid w:val="00A41678"/>
    <w:rsid w:val="00A47CA6"/>
    <w:rsid w:val="00A83604"/>
    <w:rsid w:val="00A9039E"/>
    <w:rsid w:val="00AA2569"/>
    <w:rsid w:val="00AA5E49"/>
    <w:rsid w:val="00AA7CBF"/>
    <w:rsid w:val="00AC20C0"/>
    <w:rsid w:val="00AF0A26"/>
    <w:rsid w:val="00B03763"/>
    <w:rsid w:val="00B10C0F"/>
    <w:rsid w:val="00B37FA4"/>
    <w:rsid w:val="00B721EB"/>
    <w:rsid w:val="00B77775"/>
    <w:rsid w:val="00B867EE"/>
    <w:rsid w:val="00B878AD"/>
    <w:rsid w:val="00BD10AB"/>
    <w:rsid w:val="00BD1D7D"/>
    <w:rsid w:val="00C03336"/>
    <w:rsid w:val="00C05EEF"/>
    <w:rsid w:val="00C12977"/>
    <w:rsid w:val="00C45D2D"/>
    <w:rsid w:val="00C747FA"/>
    <w:rsid w:val="00C836B2"/>
    <w:rsid w:val="00C857E3"/>
    <w:rsid w:val="00C93AE1"/>
    <w:rsid w:val="00CA7801"/>
    <w:rsid w:val="00CC003A"/>
    <w:rsid w:val="00CE638C"/>
    <w:rsid w:val="00D00A7E"/>
    <w:rsid w:val="00D202A9"/>
    <w:rsid w:val="00D2547C"/>
    <w:rsid w:val="00D25760"/>
    <w:rsid w:val="00D425DC"/>
    <w:rsid w:val="00D435F3"/>
    <w:rsid w:val="00D71CA7"/>
    <w:rsid w:val="00DA5DFA"/>
    <w:rsid w:val="00DE1A02"/>
    <w:rsid w:val="00DF6B90"/>
    <w:rsid w:val="00E50CE8"/>
    <w:rsid w:val="00E54B7A"/>
    <w:rsid w:val="00E85272"/>
    <w:rsid w:val="00EC6B69"/>
    <w:rsid w:val="00EE118F"/>
    <w:rsid w:val="00EE3DE3"/>
    <w:rsid w:val="00EE4BC5"/>
    <w:rsid w:val="00EE65D3"/>
    <w:rsid w:val="00F73AF9"/>
    <w:rsid w:val="00F73E66"/>
    <w:rsid w:val="00F96E82"/>
    <w:rsid w:val="00FC1DF4"/>
    <w:rsid w:val="00FC1E81"/>
    <w:rsid w:val="00FC756F"/>
    <w:rsid w:val="00FD77BB"/>
    <w:rsid w:val="00FE3120"/>
    <w:rsid w:val="00FF6B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4C3BE3"/>
  <w15:chartTrackingRefBased/>
  <w15:docId w15:val="{BA01E52D-2135-429E-B37A-C418151AD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227A"/>
    <w:pPr>
      <w:spacing w:after="0" w:line="240" w:lineRule="auto"/>
      <w:ind w:left="720"/>
    </w:pPr>
    <w:rPr>
      <w:rFonts w:ascii="Calibri" w:hAnsi="Calibri" w:cs="Calibri"/>
    </w:rPr>
  </w:style>
  <w:style w:type="character" w:styleId="Hyperlink">
    <w:name w:val="Hyperlink"/>
    <w:basedOn w:val="DefaultParagraphFont"/>
    <w:uiPriority w:val="99"/>
    <w:unhideWhenUsed/>
    <w:rsid w:val="00D425DC"/>
    <w:rPr>
      <w:color w:val="0563C1" w:themeColor="hyperlink"/>
      <w:u w:val="single"/>
    </w:rPr>
  </w:style>
  <w:style w:type="character" w:styleId="UnresolvedMention">
    <w:name w:val="Unresolved Mention"/>
    <w:basedOn w:val="DefaultParagraphFont"/>
    <w:uiPriority w:val="99"/>
    <w:semiHidden/>
    <w:unhideWhenUsed/>
    <w:rsid w:val="00D425DC"/>
    <w:rPr>
      <w:color w:val="605E5C"/>
      <w:shd w:val="clear" w:color="auto" w:fill="E1DFDD"/>
    </w:rPr>
  </w:style>
  <w:style w:type="paragraph" w:styleId="BalloonText">
    <w:name w:val="Balloon Text"/>
    <w:basedOn w:val="Normal"/>
    <w:link w:val="BalloonTextChar"/>
    <w:uiPriority w:val="99"/>
    <w:semiHidden/>
    <w:unhideWhenUsed/>
    <w:rsid w:val="000664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6423"/>
    <w:rPr>
      <w:rFonts w:ascii="Segoe UI" w:hAnsi="Segoe UI" w:cs="Segoe UI"/>
      <w:sz w:val="18"/>
      <w:szCs w:val="18"/>
    </w:rPr>
  </w:style>
  <w:style w:type="paragraph" w:customStyle="1" w:styleId="xmsolistparagraph">
    <w:name w:val="x_msolistparagraph"/>
    <w:basedOn w:val="Normal"/>
    <w:rsid w:val="00B10C0F"/>
    <w:pPr>
      <w:spacing w:after="0" w:line="240" w:lineRule="auto"/>
      <w:ind w:left="720"/>
    </w:pPr>
    <w:rPr>
      <w:rFonts w:ascii="Calibri" w:hAnsi="Calibri" w:cs="Calibri"/>
      <w:lang w:eastAsia="en-GB"/>
    </w:rPr>
  </w:style>
  <w:style w:type="paragraph" w:customStyle="1" w:styleId="xmsonormal">
    <w:name w:val="x_msonormal"/>
    <w:basedOn w:val="Normal"/>
    <w:rsid w:val="00534D71"/>
    <w:pPr>
      <w:spacing w:after="0" w:line="240" w:lineRule="auto"/>
    </w:pPr>
    <w:rPr>
      <w:rFonts w:ascii="Calibri" w:hAnsi="Calibri" w:cs="Calibri"/>
      <w:lang w:eastAsia="en-GB"/>
    </w:rPr>
  </w:style>
  <w:style w:type="character" w:styleId="CommentReference">
    <w:name w:val="annotation reference"/>
    <w:basedOn w:val="DefaultParagraphFont"/>
    <w:uiPriority w:val="99"/>
    <w:semiHidden/>
    <w:unhideWhenUsed/>
    <w:rsid w:val="00646B38"/>
    <w:rPr>
      <w:sz w:val="16"/>
      <w:szCs w:val="16"/>
    </w:rPr>
  </w:style>
  <w:style w:type="paragraph" w:styleId="CommentText">
    <w:name w:val="annotation text"/>
    <w:basedOn w:val="Normal"/>
    <w:link w:val="CommentTextChar"/>
    <w:uiPriority w:val="99"/>
    <w:semiHidden/>
    <w:unhideWhenUsed/>
    <w:rsid w:val="00646B38"/>
    <w:pPr>
      <w:spacing w:line="240" w:lineRule="auto"/>
    </w:pPr>
    <w:rPr>
      <w:sz w:val="20"/>
      <w:szCs w:val="20"/>
    </w:rPr>
  </w:style>
  <w:style w:type="character" w:customStyle="1" w:styleId="CommentTextChar">
    <w:name w:val="Comment Text Char"/>
    <w:basedOn w:val="DefaultParagraphFont"/>
    <w:link w:val="CommentText"/>
    <w:uiPriority w:val="99"/>
    <w:semiHidden/>
    <w:rsid w:val="00646B38"/>
    <w:rPr>
      <w:sz w:val="20"/>
      <w:szCs w:val="20"/>
    </w:rPr>
  </w:style>
  <w:style w:type="paragraph" w:styleId="CommentSubject">
    <w:name w:val="annotation subject"/>
    <w:basedOn w:val="CommentText"/>
    <w:next w:val="CommentText"/>
    <w:link w:val="CommentSubjectChar"/>
    <w:uiPriority w:val="99"/>
    <w:semiHidden/>
    <w:unhideWhenUsed/>
    <w:rsid w:val="00646B38"/>
    <w:rPr>
      <w:b/>
      <w:bCs/>
    </w:rPr>
  </w:style>
  <w:style w:type="character" w:customStyle="1" w:styleId="CommentSubjectChar">
    <w:name w:val="Comment Subject Char"/>
    <w:basedOn w:val="CommentTextChar"/>
    <w:link w:val="CommentSubject"/>
    <w:uiPriority w:val="99"/>
    <w:semiHidden/>
    <w:rsid w:val="00646B38"/>
    <w:rPr>
      <w:b/>
      <w:bCs/>
      <w:sz w:val="20"/>
      <w:szCs w:val="20"/>
    </w:rPr>
  </w:style>
  <w:style w:type="paragraph" w:styleId="NoSpacing">
    <w:name w:val="No Spacing"/>
    <w:basedOn w:val="Normal"/>
    <w:uiPriority w:val="1"/>
    <w:qFormat/>
    <w:rsid w:val="00CC003A"/>
    <w:pPr>
      <w:spacing w:after="0" w:line="240" w:lineRule="auto"/>
    </w:pPr>
    <w:rPr>
      <w:rFonts w:ascii="Calibri" w:hAnsi="Calibri" w:cs="Calibri"/>
    </w:rPr>
  </w:style>
  <w:style w:type="paragraph" w:styleId="Header">
    <w:name w:val="header"/>
    <w:basedOn w:val="Normal"/>
    <w:link w:val="HeaderChar"/>
    <w:uiPriority w:val="99"/>
    <w:unhideWhenUsed/>
    <w:rsid w:val="00843F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3F54"/>
  </w:style>
  <w:style w:type="paragraph" w:styleId="Footer">
    <w:name w:val="footer"/>
    <w:basedOn w:val="Normal"/>
    <w:link w:val="FooterChar"/>
    <w:uiPriority w:val="99"/>
    <w:unhideWhenUsed/>
    <w:rsid w:val="00843F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3F54"/>
  </w:style>
  <w:style w:type="paragraph" w:styleId="Revision">
    <w:name w:val="Revision"/>
    <w:hidden/>
    <w:uiPriority w:val="99"/>
    <w:semiHidden/>
    <w:rsid w:val="00EE118F"/>
    <w:pPr>
      <w:spacing w:after="0" w:line="240" w:lineRule="auto"/>
    </w:pPr>
  </w:style>
  <w:style w:type="character" w:styleId="FollowedHyperlink">
    <w:name w:val="FollowedHyperlink"/>
    <w:basedOn w:val="DefaultParagraphFont"/>
    <w:uiPriority w:val="99"/>
    <w:semiHidden/>
    <w:unhideWhenUsed/>
    <w:rsid w:val="004567A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115370">
      <w:bodyDiv w:val="1"/>
      <w:marLeft w:val="0"/>
      <w:marRight w:val="0"/>
      <w:marTop w:val="0"/>
      <w:marBottom w:val="0"/>
      <w:divBdr>
        <w:top w:val="none" w:sz="0" w:space="0" w:color="auto"/>
        <w:left w:val="none" w:sz="0" w:space="0" w:color="auto"/>
        <w:bottom w:val="none" w:sz="0" w:space="0" w:color="auto"/>
        <w:right w:val="none" w:sz="0" w:space="0" w:color="auto"/>
      </w:divBdr>
    </w:div>
    <w:div w:id="268509864">
      <w:bodyDiv w:val="1"/>
      <w:marLeft w:val="0"/>
      <w:marRight w:val="0"/>
      <w:marTop w:val="0"/>
      <w:marBottom w:val="0"/>
      <w:divBdr>
        <w:top w:val="none" w:sz="0" w:space="0" w:color="auto"/>
        <w:left w:val="none" w:sz="0" w:space="0" w:color="auto"/>
        <w:bottom w:val="none" w:sz="0" w:space="0" w:color="auto"/>
        <w:right w:val="none" w:sz="0" w:space="0" w:color="auto"/>
      </w:divBdr>
    </w:div>
    <w:div w:id="494151053">
      <w:bodyDiv w:val="1"/>
      <w:marLeft w:val="0"/>
      <w:marRight w:val="0"/>
      <w:marTop w:val="0"/>
      <w:marBottom w:val="0"/>
      <w:divBdr>
        <w:top w:val="none" w:sz="0" w:space="0" w:color="auto"/>
        <w:left w:val="none" w:sz="0" w:space="0" w:color="auto"/>
        <w:bottom w:val="none" w:sz="0" w:space="0" w:color="auto"/>
        <w:right w:val="none" w:sz="0" w:space="0" w:color="auto"/>
      </w:divBdr>
    </w:div>
    <w:div w:id="1089739354">
      <w:bodyDiv w:val="1"/>
      <w:marLeft w:val="0"/>
      <w:marRight w:val="0"/>
      <w:marTop w:val="0"/>
      <w:marBottom w:val="0"/>
      <w:divBdr>
        <w:top w:val="none" w:sz="0" w:space="0" w:color="auto"/>
        <w:left w:val="none" w:sz="0" w:space="0" w:color="auto"/>
        <w:bottom w:val="none" w:sz="0" w:space="0" w:color="auto"/>
        <w:right w:val="none" w:sz="0" w:space="0" w:color="auto"/>
      </w:divBdr>
    </w:div>
    <w:div w:id="1122386940">
      <w:bodyDiv w:val="1"/>
      <w:marLeft w:val="0"/>
      <w:marRight w:val="0"/>
      <w:marTop w:val="0"/>
      <w:marBottom w:val="0"/>
      <w:divBdr>
        <w:top w:val="none" w:sz="0" w:space="0" w:color="auto"/>
        <w:left w:val="none" w:sz="0" w:space="0" w:color="auto"/>
        <w:bottom w:val="none" w:sz="0" w:space="0" w:color="auto"/>
        <w:right w:val="none" w:sz="0" w:space="0" w:color="auto"/>
      </w:divBdr>
    </w:div>
    <w:div w:id="1570457246">
      <w:bodyDiv w:val="1"/>
      <w:marLeft w:val="0"/>
      <w:marRight w:val="0"/>
      <w:marTop w:val="0"/>
      <w:marBottom w:val="0"/>
      <w:divBdr>
        <w:top w:val="none" w:sz="0" w:space="0" w:color="auto"/>
        <w:left w:val="none" w:sz="0" w:space="0" w:color="auto"/>
        <w:bottom w:val="none" w:sz="0" w:space="0" w:color="auto"/>
        <w:right w:val="none" w:sz="0" w:space="0" w:color="auto"/>
      </w:divBdr>
    </w:div>
    <w:div w:id="1630669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COVID19.RegimesOpsGuidance1@justice.gov.uk"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https://hmppsintranet.org.uk/ersd-guidance/2020/09/28/heat-map-for-reverse-cohorting-requirements-to-review-regime/"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ogp.hmppsintranet.org.uk/2020/04/15/cohorting-and-population-management/" TargetMode="External"/><Relationship Id="rId5" Type="http://schemas.openxmlformats.org/officeDocument/2006/relationships/styles" Target="styles.xml"/><Relationship Id="rId15" Type="http://schemas.openxmlformats.org/officeDocument/2006/relationships/package" Target="embeddings/Microsoft_Word_Document.docx"/><Relationship Id="rId23" Type="http://schemas.openxmlformats.org/officeDocument/2006/relationships/theme" Target="theme/theme1.xml"/><Relationship Id="rId28" Type="http://schemas.microsoft.com/office/2018/08/relationships/commentsExtensible" Target="commentsExtensible.xml"/><Relationship Id="rId10" Type="http://schemas.openxmlformats.org/officeDocument/2006/relationships/hyperlink" Target="mailto:pms@justice.gov.uk" TargetMode="Externa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1.em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DD99E0922200B46800C0AC94CD5D6B1" ma:contentTypeVersion="13" ma:contentTypeDescription="Create a new document." ma:contentTypeScope="" ma:versionID="ecf7b9f901eaa4c5899159b56b9c77bc">
  <xsd:schema xmlns:xsd="http://www.w3.org/2001/XMLSchema" xmlns:xs="http://www.w3.org/2001/XMLSchema" xmlns:p="http://schemas.microsoft.com/office/2006/metadata/properties" xmlns:ns3="e7f278ac-59d6-4ba2-95d1-ff401055d899" xmlns:ns4="0d318f78-d8bf-4474-903e-2b2260215bba" targetNamespace="http://schemas.microsoft.com/office/2006/metadata/properties" ma:root="true" ma:fieldsID="72cd12921b364d63663f949ee3e188c8" ns3:_="" ns4:_="">
    <xsd:import namespace="e7f278ac-59d6-4ba2-95d1-ff401055d899"/>
    <xsd:import namespace="0d318f78-d8bf-4474-903e-2b2260215bb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f278ac-59d6-4ba2-95d1-ff401055d8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d318f78-d8bf-4474-903e-2b2260215bb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B8E33FE-9592-4563-9017-022FE16983F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E76FEA8-04DF-4CE4-B29F-6075D5E99A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f278ac-59d6-4ba2-95d1-ff401055d899"/>
    <ds:schemaRef ds:uri="0d318f78-d8bf-4474-903e-2b2260215b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8D4F19E-47E1-4A12-AB70-F45A9E92598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1573</Words>
  <Characters>8969</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Blake, Sian</dc:creator>
  <cp:keywords/>
  <dc:description/>
  <cp:lastModifiedBy>Giorgi, Rebecca</cp:lastModifiedBy>
  <cp:revision>2</cp:revision>
  <dcterms:created xsi:type="dcterms:W3CDTF">2021-11-15T11:32:00Z</dcterms:created>
  <dcterms:modified xsi:type="dcterms:W3CDTF">2021-11-15T11:32:00Z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0x0101007DD99E0922200B46800C0AC94CD5D6B1</vt:lpwstr>
  </property>
</Properties>
</file>