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BC97" w14:textId="57C738D8" w:rsidR="009F1093" w:rsidRDefault="00D46FA6" w:rsidP="003F75E2">
      <w:pPr>
        <w:pStyle w:val="NoSpacing"/>
        <w:jc w:val="both"/>
        <w:rPr>
          <w:b/>
          <w:sz w:val="28"/>
        </w:rPr>
      </w:pPr>
      <w:r w:rsidRPr="002B0A86">
        <w:rPr>
          <w:b/>
          <w:sz w:val="28"/>
        </w:rPr>
        <w:t xml:space="preserve">Update on </w:t>
      </w:r>
      <w:r w:rsidR="00D00778" w:rsidRPr="002B0A86">
        <w:rPr>
          <w:b/>
          <w:sz w:val="28"/>
        </w:rPr>
        <w:t xml:space="preserve">Court Attendance </w:t>
      </w:r>
      <w:r w:rsidR="00670575">
        <w:rPr>
          <w:b/>
          <w:sz w:val="28"/>
        </w:rPr>
        <w:t xml:space="preserve">Procedures </w:t>
      </w:r>
      <w:r w:rsidR="00D00778" w:rsidRPr="002B0A86">
        <w:rPr>
          <w:b/>
          <w:sz w:val="28"/>
        </w:rPr>
        <w:t>During COVID-19</w:t>
      </w:r>
    </w:p>
    <w:p w14:paraId="720DB1F0" w14:textId="4FF0C22F" w:rsidR="00C11FAA" w:rsidRPr="002B0A86" w:rsidRDefault="00C11FAA" w:rsidP="003F75E2">
      <w:pPr>
        <w:pStyle w:val="NoSpacing"/>
        <w:jc w:val="both"/>
        <w:rPr>
          <w:b/>
          <w:sz w:val="28"/>
        </w:rPr>
      </w:pPr>
      <w:r>
        <w:rPr>
          <w:b/>
          <w:sz w:val="28"/>
        </w:rPr>
        <w:t>November 2020</w:t>
      </w:r>
      <w:r w:rsidR="00A802B7">
        <w:rPr>
          <w:b/>
          <w:sz w:val="28"/>
        </w:rPr>
        <w:t xml:space="preserve"> v2 </w:t>
      </w:r>
    </w:p>
    <w:p w14:paraId="1270302A" w14:textId="77777777" w:rsidR="009F1093" w:rsidRPr="002B0A86" w:rsidRDefault="009F1093" w:rsidP="003F75E2">
      <w:pPr>
        <w:pStyle w:val="NoSpacing"/>
        <w:jc w:val="both"/>
      </w:pPr>
    </w:p>
    <w:p w14:paraId="74F464FD" w14:textId="65230A7E" w:rsidR="00D46FA6" w:rsidRPr="002B0A86" w:rsidRDefault="00193B7F" w:rsidP="00F82782">
      <w:pPr>
        <w:pStyle w:val="NoSpacing"/>
        <w:jc w:val="both"/>
        <w:rPr>
          <w:i/>
        </w:rPr>
      </w:pPr>
      <w:r w:rsidRPr="002B0A86">
        <w:rPr>
          <w:i/>
        </w:rPr>
        <w:t xml:space="preserve">This </w:t>
      </w:r>
      <w:r w:rsidR="00C5552A">
        <w:rPr>
          <w:i/>
        </w:rPr>
        <w:t xml:space="preserve">document </w:t>
      </w:r>
      <w:r w:rsidR="00D00778" w:rsidRPr="002B0A86">
        <w:rPr>
          <w:i/>
        </w:rPr>
        <w:t xml:space="preserve">aims to clarify the guidance to </w:t>
      </w:r>
      <w:r w:rsidR="00F82782" w:rsidRPr="002B0A86">
        <w:rPr>
          <w:i/>
        </w:rPr>
        <w:t xml:space="preserve">establishments </w:t>
      </w:r>
      <w:proofErr w:type="gramStart"/>
      <w:r w:rsidR="00F82782" w:rsidRPr="002B0A86">
        <w:rPr>
          <w:i/>
        </w:rPr>
        <w:t>for</w:t>
      </w:r>
      <w:r w:rsidR="00C5552A">
        <w:rPr>
          <w:i/>
        </w:rPr>
        <w:t xml:space="preserve"> </w:t>
      </w:r>
      <w:r w:rsidR="00D00778" w:rsidRPr="002B0A86">
        <w:rPr>
          <w:i/>
        </w:rPr>
        <w:t>the production of</w:t>
      </w:r>
      <w:proofErr w:type="gramEnd"/>
      <w:r w:rsidR="00D00778" w:rsidRPr="002B0A86">
        <w:rPr>
          <w:i/>
        </w:rPr>
        <w:t xml:space="preserve"> pris</w:t>
      </w:r>
      <w:r w:rsidR="00DC610D" w:rsidRPr="002B0A86">
        <w:rPr>
          <w:i/>
        </w:rPr>
        <w:t xml:space="preserve">oners to court during COVID-19, particularly those who are symptomatic or COVID-19 positive. </w:t>
      </w:r>
      <w:r w:rsidR="00F82782">
        <w:rPr>
          <w:i/>
        </w:rPr>
        <w:t xml:space="preserve">It updates existing guidance issued earlier in the pandemic. </w:t>
      </w:r>
    </w:p>
    <w:p w14:paraId="5ED344C8" w14:textId="77777777" w:rsidR="009D20F7" w:rsidRPr="002B0A86" w:rsidRDefault="009D20F7" w:rsidP="00F82782">
      <w:pPr>
        <w:pStyle w:val="NoSpacing"/>
        <w:jc w:val="both"/>
      </w:pPr>
    </w:p>
    <w:p w14:paraId="6A0284B2" w14:textId="31E84EFB" w:rsidR="00A00626" w:rsidRPr="002B0A86" w:rsidRDefault="009D20F7" w:rsidP="00F82782">
      <w:pPr>
        <w:pStyle w:val="NoSpacing"/>
        <w:jc w:val="both"/>
      </w:pPr>
      <w:r w:rsidRPr="002B0A86">
        <w:t xml:space="preserve">HMPPS </w:t>
      </w:r>
      <w:r w:rsidR="00C5552A">
        <w:t xml:space="preserve">have a </w:t>
      </w:r>
      <w:r w:rsidRPr="002B0A86">
        <w:t xml:space="preserve">crucial role in </w:t>
      </w:r>
      <w:r w:rsidR="00C5552A">
        <w:t xml:space="preserve">supporting </w:t>
      </w:r>
      <w:r w:rsidRPr="002B0A86">
        <w:t xml:space="preserve">the wider Criminal Justice System </w:t>
      </w:r>
      <w:r w:rsidR="00F82782">
        <w:t>by ensuring that</w:t>
      </w:r>
      <w:r w:rsidRPr="002B0A86">
        <w:t xml:space="preserve"> prisoners </w:t>
      </w:r>
      <w:r w:rsidR="00C5552A">
        <w:t>are produced for court as directed by HMCTS.</w:t>
      </w:r>
      <w:r w:rsidRPr="002B0A86">
        <w:t xml:space="preserve"> The </w:t>
      </w:r>
      <w:r w:rsidR="00F82782">
        <w:t>COVID</w:t>
      </w:r>
      <w:r w:rsidR="00C5552A">
        <w:t xml:space="preserve">-19 </w:t>
      </w:r>
      <w:r w:rsidRPr="002B0A86">
        <w:t xml:space="preserve">pandemic and lockdown context </w:t>
      </w:r>
      <w:proofErr w:type="gramStart"/>
      <w:r w:rsidRPr="002B0A86">
        <w:t>is</w:t>
      </w:r>
      <w:proofErr w:type="gramEnd"/>
      <w:r w:rsidRPr="002B0A86">
        <w:t xml:space="preserve"> a significant concern that requires additional precautions and measures to be taken</w:t>
      </w:r>
      <w:r w:rsidR="00364237" w:rsidRPr="002B0A86">
        <w:t>,</w:t>
      </w:r>
      <w:r w:rsidRPr="002B0A86">
        <w:t xml:space="preserve"> but do not constitute a reason for prisons to </w:t>
      </w:r>
      <w:r w:rsidR="003C5A63" w:rsidRPr="002B0A86">
        <w:t xml:space="preserve">stop this essential service. </w:t>
      </w:r>
      <w:r w:rsidR="00C5552A">
        <w:t xml:space="preserve">HMPPS, PECS and HMCTS have worked in collaboration to ensure </w:t>
      </w:r>
      <w:r w:rsidR="009C6C61">
        <w:t>that we are</w:t>
      </w:r>
      <w:r w:rsidR="00A00626" w:rsidRPr="002B0A86">
        <w:t xml:space="preserve"> able to safely facilitate prisoners’ court appearances.</w:t>
      </w:r>
    </w:p>
    <w:p w14:paraId="7DA98AE9" w14:textId="77777777" w:rsidR="005D6D97" w:rsidRPr="002B0A86" w:rsidRDefault="005D6D97" w:rsidP="00F82782">
      <w:pPr>
        <w:pStyle w:val="NoSpacing"/>
        <w:jc w:val="both"/>
      </w:pPr>
    </w:p>
    <w:p w14:paraId="6C42FC36" w14:textId="5C1F5B53" w:rsidR="00A00626" w:rsidRPr="002B0A86" w:rsidRDefault="00364237" w:rsidP="00F82782">
      <w:pPr>
        <w:spacing w:after="0" w:line="240" w:lineRule="auto"/>
        <w:jc w:val="both"/>
        <w:rPr>
          <w:rFonts w:eastAsia="Calibri" w:cs="Arial"/>
        </w:rPr>
      </w:pPr>
      <w:r w:rsidRPr="002B0A86">
        <w:rPr>
          <w:rFonts w:eastAsia="Calibri" w:cs="Arial"/>
        </w:rPr>
        <w:t xml:space="preserve">Despite </w:t>
      </w:r>
      <w:r w:rsidR="005D6D97" w:rsidRPr="002B0A86">
        <w:rPr>
          <w:rFonts w:eastAsia="Calibri" w:cs="Arial"/>
        </w:rPr>
        <w:t xml:space="preserve">the number of procedures being introduced in receptions, transport services and courts, video link appearances are still considered to be </w:t>
      </w:r>
      <w:r w:rsidR="009C6C61">
        <w:rPr>
          <w:rFonts w:eastAsia="Calibri" w:cs="Arial"/>
        </w:rPr>
        <w:t xml:space="preserve">the </w:t>
      </w:r>
      <w:r w:rsidR="005D6D97" w:rsidRPr="002B0A86">
        <w:rPr>
          <w:rFonts w:eastAsia="Calibri" w:cs="Arial"/>
        </w:rPr>
        <w:t xml:space="preserve">safer solution as they involve less transmission risks. They also cause less strain on prison resources. </w:t>
      </w:r>
      <w:r w:rsidR="009C6C61">
        <w:rPr>
          <w:rFonts w:eastAsia="Calibri" w:cs="Arial"/>
        </w:rPr>
        <w:t xml:space="preserve"> For these</w:t>
      </w:r>
      <w:r w:rsidR="005D6D97" w:rsidRPr="002B0A86">
        <w:rPr>
          <w:rFonts w:eastAsia="Calibri" w:cs="Arial"/>
        </w:rPr>
        <w:t xml:space="preserve"> reasons</w:t>
      </w:r>
      <w:r w:rsidR="009C6C61">
        <w:rPr>
          <w:rFonts w:eastAsia="Calibri" w:cs="Arial"/>
        </w:rPr>
        <w:t>,</w:t>
      </w:r>
      <w:r w:rsidR="005D6D97" w:rsidRPr="002B0A86">
        <w:rPr>
          <w:rFonts w:eastAsia="Calibri" w:cs="Arial"/>
        </w:rPr>
        <w:t xml:space="preserve"> </w:t>
      </w:r>
      <w:r w:rsidR="00A00626" w:rsidRPr="002B0A86">
        <w:rPr>
          <w:rFonts w:eastAsia="Calibri" w:cs="Arial"/>
        </w:rPr>
        <w:t xml:space="preserve">HMCTS have </w:t>
      </w:r>
      <w:hyperlink r:id="rId6" w:history="1">
        <w:r w:rsidR="00A00626" w:rsidRPr="002B0A86">
          <w:rPr>
            <w:rFonts w:eastAsia="Calibri"/>
          </w:rPr>
          <w:t xml:space="preserve"> increased capacity for video hearings</w:t>
        </w:r>
      </w:hyperlink>
      <w:r w:rsidR="005D6D97" w:rsidRPr="002B0A86">
        <w:rPr>
          <w:rFonts w:eastAsia="Calibri" w:cs="Arial"/>
        </w:rPr>
        <w:t xml:space="preserve"> as an alternative</w:t>
      </w:r>
      <w:r w:rsidR="00A00626" w:rsidRPr="002B0A86">
        <w:rPr>
          <w:rFonts w:eastAsia="Calibri" w:cs="Arial"/>
        </w:rPr>
        <w:t xml:space="preserve"> to face-to-face hearings </w:t>
      </w:r>
      <w:r w:rsidR="009C6C61">
        <w:rPr>
          <w:rFonts w:eastAsia="Calibri" w:cs="Arial"/>
        </w:rPr>
        <w:t xml:space="preserve">which </w:t>
      </w:r>
      <w:r w:rsidR="00A00626" w:rsidRPr="002B0A86">
        <w:rPr>
          <w:rFonts w:eastAsia="Calibri" w:cs="Arial"/>
        </w:rPr>
        <w:t>will be used whe</w:t>
      </w:r>
      <w:r w:rsidR="009C6C61">
        <w:rPr>
          <w:rFonts w:eastAsia="Calibri" w:cs="Arial"/>
        </w:rPr>
        <w:t>n deemed appropri</w:t>
      </w:r>
      <w:r w:rsidR="00F82782">
        <w:rPr>
          <w:rFonts w:eastAsia="Calibri" w:cs="Arial"/>
        </w:rPr>
        <w:t>ate by the judiciary</w:t>
      </w:r>
      <w:r w:rsidR="00A00626" w:rsidRPr="002B0A86">
        <w:rPr>
          <w:rFonts w:eastAsia="Calibri" w:cs="Arial"/>
        </w:rPr>
        <w:t>. HMCTS have also implemented arrangements to ensure that</w:t>
      </w:r>
      <w:r w:rsidR="000E4E3D" w:rsidRPr="002B0A86">
        <w:rPr>
          <w:rFonts w:eastAsia="Calibri" w:cs="Arial"/>
        </w:rPr>
        <w:t xml:space="preserve"> </w:t>
      </w:r>
      <w:r w:rsidR="005D6D97" w:rsidRPr="002B0A86">
        <w:rPr>
          <w:rFonts w:eastAsia="Calibri" w:cs="Arial"/>
        </w:rPr>
        <w:t>vital</w:t>
      </w:r>
      <w:r w:rsidR="000E4E3D" w:rsidRPr="002B0A86">
        <w:rPr>
          <w:rFonts w:eastAsia="Calibri" w:cs="Arial"/>
        </w:rPr>
        <w:t xml:space="preserve"> work is prioritised.</w:t>
      </w:r>
      <w:r w:rsidR="005D6D97" w:rsidRPr="002B0A86">
        <w:rPr>
          <w:rFonts w:eastAsia="Calibri" w:cs="Arial"/>
        </w:rPr>
        <w:t xml:space="preserve">  However, e</w:t>
      </w:r>
      <w:r w:rsidR="00A00626" w:rsidRPr="002B0A86">
        <w:rPr>
          <w:rFonts w:eastAsia="Calibri" w:cs="Arial"/>
        </w:rPr>
        <w:t xml:space="preserve">ssential hearings that must be held in person can still go ahead while complying </w:t>
      </w:r>
      <w:r w:rsidR="005D6D97" w:rsidRPr="002B0A86">
        <w:rPr>
          <w:rFonts w:eastAsia="Calibri" w:cs="Arial"/>
        </w:rPr>
        <w:t>fully with public health advice.</w:t>
      </w:r>
    </w:p>
    <w:p w14:paraId="60D28F4A" w14:textId="77777777" w:rsidR="00D457E6" w:rsidRPr="002B0A86" w:rsidRDefault="00D457E6" w:rsidP="00F82782">
      <w:pPr>
        <w:spacing w:after="0" w:line="240" w:lineRule="auto"/>
        <w:jc w:val="both"/>
        <w:rPr>
          <w:rFonts w:eastAsia="Calibri" w:cs="Arial"/>
        </w:rPr>
      </w:pPr>
    </w:p>
    <w:p w14:paraId="08CFE47A" w14:textId="651AFC8D" w:rsidR="003F75E2" w:rsidRPr="002B0A86" w:rsidRDefault="00BA7812" w:rsidP="00F82782">
      <w:pPr>
        <w:spacing w:after="0" w:line="240" w:lineRule="auto"/>
        <w:jc w:val="both"/>
      </w:pPr>
      <w:r w:rsidRPr="002B0A86">
        <w:rPr>
          <w:rFonts w:eastAsia="Calibri" w:cs="Arial"/>
        </w:rPr>
        <w:t xml:space="preserve">Where prisoners are required to attend court in person (it is a decision made by the court), prisoners must be produced and processed through Reception/other suitable area. PECS and </w:t>
      </w:r>
      <w:r w:rsidR="009C6C61">
        <w:rPr>
          <w:rFonts w:eastAsia="Calibri" w:cs="Arial"/>
        </w:rPr>
        <w:t xml:space="preserve">HMCTS </w:t>
      </w:r>
      <w:r w:rsidRPr="002B0A86">
        <w:rPr>
          <w:rFonts w:eastAsia="Calibri" w:cs="Arial"/>
        </w:rPr>
        <w:t xml:space="preserve">have </w:t>
      </w:r>
      <w:r w:rsidR="009C6C61">
        <w:rPr>
          <w:rFonts w:eastAsia="Calibri" w:cs="Arial"/>
        </w:rPr>
        <w:t>adapted their processes to provide a safe working environment for defendants, staff and visitor</w:t>
      </w:r>
      <w:r w:rsidR="00C524D3">
        <w:rPr>
          <w:rFonts w:eastAsia="Calibri" w:cs="Arial"/>
        </w:rPr>
        <w:t>s</w:t>
      </w:r>
      <w:r w:rsidR="009C6C61">
        <w:rPr>
          <w:rFonts w:eastAsia="Calibri" w:cs="Arial"/>
        </w:rPr>
        <w:t xml:space="preserve"> to the </w:t>
      </w:r>
      <w:r w:rsidR="00C524D3">
        <w:rPr>
          <w:rFonts w:eastAsia="Calibri" w:cs="Arial"/>
        </w:rPr>
        <w:t>courts.</w:t>
      </w:r>
      <w:r w:rsidRPr="002B0A86">
        <w:rPr>
          <w:rFonts w:eastAsia="Calibri" w:cs="Arial"/>
        </w:rPr>
        <w:t xml:space="preserve"> </w:t>
      </w:r>
      <w:r w:rsidR="00C524D3">
        <w:rPr>
          <w:rFonts w:eastAsia="Calibri" w:cs="Arial"/>
        </w:rPr>
        <w:t xml:space="preserve">HMPPS </w:t>
      </w:r>
      <w:r w:rsidRPr="002B0A86">
        <w:rPr>
          <w:rFonts w:eastAsia="Calibri" w:cs="Arial"/>
        </w:rPr>
        <w:t xml:space="preserve">must follow our </w:t>
      </w:r>
      <w:r w:rsidR="00C524D3">
        <w:rPr>
          <w:rFonts w:eastAsia="Calibri" w:cs="Arial"/>
        </w:rPr>
        <w:t xml:space="preserve">own </w:t>
      </w:r>
      <w:r w:rsidRPr="002B0A86">
        <w:rPr>
          <w:rFonts w:eastAsia="Calibri" w:cs="Arial"/>
        </w:rPr>
        <w:t>process</w:t>
      </w:r>
      <w:r w:rsidR="00C524D3">
        <w:rPr>
          <w:rFonts w:eastAsia="Calibri" w:cs="Arial"/>
        </w:rPr>
        <w:t>es</w:t>
      </w:r>
      <w:r w:rsidRPr="002B0A86">
        <w:rPr>
          <w:rFonts w:eastAsia="Calibri" w:cs="Arial"/>
        </w:rPr>
        <w:t xml:space="preserve"> and policies to ensure the safety of prisoners and staff.</w:t>
      </w:r>
      <w:r w:rsidR="00012A19" w:rsidRPr="002B0A86">
        <w:rPr>
          <w:rFonts w:eastAsia="Calibri" w:cs="Arial"/>
        </w:rPr>
        <w:t xml:space="preserve"> </w:t>
      </w:r>
      <w:r w:rsidR="00012A19" w:rsidRPr="002B0A86">
        <w:t xml:space="preserve">Prisoners within the RCU cohort are not necessarily a risk to one another or staff. </w:t>
      </w:r>
    </w:p>
    <w:p w14:paraId="2A7CC096" w14:textId="77777777" w:rsidR="00364237" w:rsidRPr="002B0A86" w:rsidRDefault="00364237" w:rsidP="00F82782">
      <w:pPr>
        <w:spacing w:after="0" w:line="240" w:lineRule="auto"/>
        <w:jc w:val="both"/>
      </w:pPr>
    </w:p>
    <w:p w14:paraId="0EF5110A" w14:textId="457B6881" w:rsidR="00687268" w:rsidRPr="002B0A86" w:rsidRDefault="00012A19" w:rsidP="00F82782">
      <w:pPr>
        <w:spacing w:after="0" w:line="240" w:lineRule="auto"/>
        <w:jc w:val="both"/>
      </w:pPr>
      <w:r w:rsidRPr="002B0A86">
        <w:t xml:space="preserve">Prisoners who are not already on RCU and need to attend a one-off day court case can remain in their normal location </w:t>
      </w:r>
      <w:r w:rsidR="00626068" w:rsidRPr="002B0A86">
        <w:t>upon return</w:t>
      </w:r>
      <w:r w:rsidRPr="002B0A86">
        <w:t xml:space="preserve">. Where prisoners are required to be regularly out of the establishment for a trial undertaking movement back and forth, prisons should locate them on the RCU for the duration of their period out. Following the end of this period, they should commence a </w:t>
      </w:r>
      <w:proofErr w:type="gramStart"/>
      <w:r w:rsidRPr="002B0A86">
        <w:t>14 day</w:t>
      </w:r>
      <w:proofErr w:type="gramEnd"/>
      <w:r w:rsidRPr="002B0A86">
        <w:t xml:space="preserve"> RCU period before being integrated back in to the main residential wings or transferred to another establishment. </w:t>
      </w:r>
    </w:p>
    <w:p w14:paraId="6A9B583D" w14:textId="77777777" w:rsidR="00D457E6" w:rsidRPr="002B0A86" w:rsidRDefault="00D457E6" w:rsidP="00F82782">
      <w:pPr>
        <w:spacing w:after="0" w:line="240" w:lineRule="auto"/>
        <w:jc w:val="both"/>
      </w:pPr>
    </w:p>
    <w:p w14:paraId="6495116C" w14:textId="670C1578" w:rsidR="006B36B3" w:rsidRDefault="006B36B3" w:rsidP="00F82782">
      <w:pPr>
        <w:spacing w:after="0" w:line="240" w:lineRule="auto"/>
        <w:jc w:val="both"/>
      </w:pPr>
      <w:r w:rsidRPr="002B0A86">
        <w:t xml:space="preserve">Shielding prisoners </w:t>
      </w:r>
      <w:r w:rsidR="001E5988" w:rsidRPr="002B0A86">
        <w:t xml:space="preserve">can </w:t>
      </w:r>
      <w:r w:rsidRPr="002B0A86">
        <w:t xml:space="preserve">still attend in person but Courts </w:t>
      </w:r>
      <w:r w:rsidR="001E5988" w:rsidRPr="002B0A86">
        <w:t>should</w:t>
      </w:r>
      <w:r w:rsidRPr="002B0A86">
        <w:t xml:space="preserve"> be informed about their </w:t>
      </w:r>
      <w:r w:rsidR="00D457E6" w:rsidRPr="002B0A86">
        <w:t xml:space="preserve">shielding </w:t>
      </w:r>
      <w:r w:rsidRPr="002B0A86">
        <w:t xml:space="preserve">status and </w:t>
      </w:r>
      <w:r w:rsidR="00D457E6" w:rsidRPr="002B0A86">
        <w:t>their advice</w:t>
      </w:r>
      <w:r w:rsidR="001E5988" w:rsidRPr="002B0A86">
        <w:t xml:space="preserve"> can be sought</w:t>
      </w:r>
      <w:r w:rsidR="00D457E6" w:rsidRPr="002B0A86">
        <w:t xml:space="preserve"> </w:t>
      </w:r>
      <w:r w:rsidR="00C524D3">
        <w:t xml:space="preserve">as to </w:t>
      </w:r>
      <w:r w:rsidRPr="002B0A86">
        <w:t xml:space="preserve">whether </w:t>
      </w:r>
      <w:r w:rsidR="00D457E6" w:rsidRPr="002B0A86">
        <w:t xml:space="preserve">a video-link alternative can be arranged.  If not, the shielding prisoner must be produced for Court with </w:t>
      </w:r>
      <w:proofErr w:type="gramStart"/>
      <w:r w:rsidR="00D457E6" w:rsidRPr="002B0A86">
        <w:t>particular</w:t>
      </w:r>
      <w:r w:rsidR="001E5988" w:rsidRPr="002B0A86">
        <w:t xml:space="preserve"> consideration</w:t>
      </w:r>
      <w:proofErr w:type="gramEnd"/>
      <w:r w:rsidR="001E5988" w:rsidRPr="002B0A86">
        <w:t xml:space="preserve"> given to the</w:t>
      </w:r>
      <w:r w:rsidR="00C524D3">
        <w:t>ir</w:t>
      </w:r>
      <w:r w:rsidR="00D457E6" w:rsidRPr="002B0A86">
        <w:t xml:space="preserve"> safety. </w:t>
      </w:r>
      <w:r w:rsidR="00626068">
        <w:t xml:space="preserve"> </w:t>
      </w:r>
    </w:p>
    <w:p w14:paraId="22FCB336" w14:textId="77777777" w:rsidR="00626068" w:rsidRPr="002B0A86" w:rsidRDefault="00626068" w:rsidP="00F82782">
      <w:pPr>
        <w:spacing w:after="0" w:line="240" w:lineRule="auto"/>
        <w:jc w:val="both"/>
      </w:pPr>
    </w:p>
    <w:p w14:paraId="45CA4057" w14:textId="503C0C7C" w:rsidR="003F75E2" w:rsidRDefault="002A4CAD" w:rsidP="00F82782">
      <w:pPr>
        <w:spacing w:after="0" w:line="240" w:lineRule="auto"/>
        <w:jc w:val="both"/>
      </w:pPr>
      <w:r w:rsidRPr="002B0A86">
        <w:t>The depicted processes will help to ensure that all prisoners who are required by Court can attend their case</w:t>
      </w:r>
      <w:r w:rsidR="00C524D3">
        <w:t>,</w:t>
      </w:r>
      <w:r w:rsidRPr="002B0A86">
        <w:t xml:space="preserve"> either through virtual or physical hearing. This is a mandatory action. </w:t>
      </w:r>
      <w:r w:rsidR="003F75E2" w:rsidRPr="002B0A86">
        <w:t>If establishments have any c</w:t>
      </w:r>
      <w:r w:rsidR="006B36B3" w:rsidRPr="002B0A86">
        <w:t xml:space="preserve">oncerns around </w:t>
      </w:r>
      <w:r w:rsidRPr="002B0A86">
        <w:t xml:space="preserve">this, they </w:t>
      </w:r>
      <w:r w:rsidR="00C524D3">
        <w:t>shou</w:t>
      </w:r>
      <w:r w:rsidR="00F82782">
        <w:t>l</w:t>
      </w:r>
      <w:r w:rsidR="00C524D3">
        <w:t xml:space="preserve">d </w:t>
      </w:r>
      <w:r w:rsidRPr="002B0A86">
        <w:t>r</w:t>
      </w:r>
      <w:r w:rsidR="00C524D3">
        <w:t>a</w:t>
      </w:r>
      <w:r w:rsidRPr="002B0A86">
        <w:t>ise it with their PGDs or Courts/Contractor point of contact.</w:t>
      </w:r>
    </w:p>
    <w:p w14:paraId="7B1316DA" w14:textId="77777777" w:rsidR="00C11FAA" w:rsidRPr="002B0A86" w:rsidRDefault="00C11FAA" w:rsidP="00F82782">
      <w:pPr>
        <w:spacing w:after="0" w:line="240" w:lineRule="auto"/>
        <w:jc w:val="both"/>
      </w:pPr>
    </w:p>
    <w:p w14:paraId="00306CEC" w14:textId="1CDD3339" w:rsidR="00F12C9E" w:rsidRPr="001131BB" w:rsidRDefault="00F12C9E" w:rsidP="00F12C9E">
      <w:pPr>
        <w:jc w:val="both"/>
        <w:rPr>
          <w:iCs/>
        </w:rPr>
      </w:pPr>
      <w:r w:rsidRPr="001131BB">
        <w:rPr>
          <w:iCs/>
        </w:rPr>
        <w:t xml:space="preserve">PECS do not routinely transfer prisoners to court who are required to isolate because they are either </w:t>
      </w:r>
      <w:r w:rsidRPr="001131BB">
        <w:rPr>
          <w:b/>
          <w:bCs/>
          <w:iCs/>
        </w:rPr>
        <w:t>symptomatic or confirmed positive</w:t>
      </w:r>
      <w:r w:rsidRPr="001131BB">
        <w:rPr>
          <w:iCs/>
        </w:rPr>
        <w:t xml:space="preserve"> with COVID-19, or are required to isolate as an identified contact of a person with Covid-19</w:t>
      </w:r>
      <w:r w:rsidR="00044124" w:rsidRPr="001131BB">
        <w:rPr>
          <w:iCs/>
        </w:rPr>
        <w:t xml:space="preserve"> </w:t>
      </w:r>
      <w:proofErr w:type="gramStart"/>
      <w:r w:rsidR="00044124" w:rsidRPr="001131BB">
        <w:rPr>
          <w:iCs/>
        </w:rPr>
        <w:t>with the exception of</w:t>
      </w:r>
      <w:proofErr w:type="gramEnd"/>
      <w:r w:rsidR="00044124" w:rsidRPr="001131BB">
        <w:rPr>
          <w:iCs/>
        </w:rPr>
        <w:t xml:space="preserve"> those in the group defined below:</w:t>
      </w:r>
      <w:r w:rsidRPr="001131BB">
        <w:rPr>
          <w:iCs/>
        </w:rPr>
        <w:t xml:space="preserve"> </w:t>
      </w:r>
    </w:p>
    <w:p w14:paraId="364C0ABB" w14:textId="77777777" w:rsidR="00044124" w:rsidRPr="001131BB" w:rsidRDefault="00044124" w:rsidP="00044124">
      <w:r w:rsidRPr="001131BB">
        <w:t>Prisoners who have been identified as a close contact of a confirmed case can be produced to court under the following circumstances:</w:t>
      </w:r>
    </w:p>
    <w:p w14:paraId="1E4469CC" w14:textId="77777777" w:rsidR="00044124" w:rsidRPr="001131BB" w:rsidRDefault="00044124" w:rsidP="00044124">
      <w:pPr>
        <w:pStyle w:val="ListParagraph"/>
        <w:numPr>
          <w:ilvl w:val="0"/>
          <w:numId w:val="10"/>
        </w:numPr>
      </w:pPr>
      <w:r w:rsidRPr="001131BB">
        <w:t xml:space="preserve">The prisoner has been double </w:t>
      </w:r>
      <w:proofErr w:type="gramStart"/>
      <w:r w:rsidRPr="001131BB">
        <w:t>vaccinated;</w:t>
      </w:r>
      <w:proofErr w:type="gramEnd"/>
    </w:p>
    <w:p w14:paraId="419B83FC" w14:textId="77777777" w:rsidR="00044124" w:rsidRPr="001131BB" w:rsidRDefault="00044124" w:rsidP="00044124">
      <w:pPr>
        <w:pStyle w:val="ListParagraph"/>
        <w:numPr>
          <w:ilvl w:val="0"/>
          <w:numId w:val="10"/>
        </w:numPr>
      </w:pPr>
      <w:r w:rsidRPr="001131BB">
        <w:t xml:space="preserve">The prisoner has a negative Covid-19 test as part of the daily prison testing </w:t>
      </w:r>
      <w:proofErr w:type="gramStart"/>
      <w:r w:rsidRPr="001131BB">
        <w:t>regime;</w:t>
      </w:r>
      <w:proofErr w:type="gramEnd"/>
    </w:p>
    <w:p w14:paraId="06234254" w14:textId="77777777" w:rsidR="00044124" w:rsidRPr="001131BB" w:rsidRDefault="00044124" w:rsidP="00044124">
      <w:pPr>
        <w:pStyle w:val="ListParagraph"/>
        <w:numPr>
          <w:ilvl w:val="0"/>
          <w:numId w:val="10"/>
        </w:numPr>
      </w:pPr>
      <w:r w:rsidRPr="001131BB">
        <w:lastRenderedPageBreak/>
        <w:t>There are no other medical or risk considerations which would lead the prisons Healthcare Professional to determine they are not fit for travel.</w:t>
      </w:r>
    </w:p>
    <w:p w14:paraId="11B43396" w14:textId="77777777" w:rsidR="00044124" w:rsidRPr="001131BB" w:rsidRDefault="00044124" w:rsidP="00044124">
      <w:pPr>
        <w:rPr>
          <w:b/>
          <w:bCs/>
          <w:i/>
          <w:iCs/>
        </w:rPr>
      </w:pPr>
      <w:r w:rsidRPr="001131BB">
        <w:rPr>
          <w:b/>
          <w:bCs/>
          <w:i/>
          <w:iCs/>
        </w:rPr>
        <w:t>NB: The court does not require any proof of vaccination or testing. The court will assume that if a prisoner has been cleared as fit for travel, they have met the conditions agreed above.</w:t>
      </w:r>
    </w:p>
    <w:p w14:paraId="0D94334F" w14:textId="447A24A9" w:rsidR="00044124" w:rsidRPr="00F12C9E" w:rsidRDefault="00044124" w:rsidP="00F12C9E">
      <w:pPr>
        <w:jc w:val="both"/>
        <w:rPr>
          <w:rFonts w:eastAsia="Times New Roman"/>
        </w:rPr>
      </w:pPr>
      <w:r w:rsidRPr="001131BB">
        <w:rPr>
          <w:iCs/>
        </w:rPr>
        <w:t xml:space="preserve">This principle has been shared with the Judiciary and is in line with HMCTS guidance. </w:t>
      </w:r>
    </w:p>
    <w:p w14:paraId="66DF0DE6" w14:textId="5CCF3EBF" w:rsidR="00DC610D" w:rsidRPr="00F82782" w:rsidRDefault="00DC610D" w:rsidP="00F82782">
      <w:pPr>
        <w:spacing w:after="0" w:line="240" w:lineRule="auto"/>
        <w:jc w:val="both"/>
      </w:pPr>
      <w:r w:rsidRPr="002B0A86">
        <w:rPr>
          <w:rFonts w:eastAsia="Times New Roman"/>
        </w:rPr>
        <w:t>Where an establishment verif</w:t>
      </w:r>
      <w:r w:rsidR="00A840BC">
        <w:rPr>
          <w:rFonts w:eastAsia="Times New Roman"/>
        </w:rPr>
        <w:t>ies</w:t>
      </w:r>
      <w:r w:rsidRPr="002B0A86">
        <w:rPr>
          <w:rFonts w:eastAsia="Times New Roman"/>
        </w:rPr>
        <w:t xml:space="preserve"> or suspect</w:t>
      </w:r>
      <w:r w:rsidR="00A840BC">
        <w:rPr>
          <w:rFonts w:eastAsia="Times New Roman"/>
        </w:rPr>
        <w:t>s</w:t>
      </w:r>
      <w:r w:rsidRPr="002B0A86">
        <w:rPr>
          <w:rFonts w:eastAsia="Times New Roman"/>
        </w:rPr>
        <w:t xml:space="preserve"> that someone is COVID confirmed or symptomatic (including those who are Asymptomatic but have a positive test result) they must inform the prison healthcare</w:t>
      </w:r>
      <w:r w:rsidR="002B0A86" w:rsidRPr="002B0A86">
        <w:rPr>
          <w:rFonts w:eastAsia="Times New Roman"/>
        </w:rPr>
        <w:t xml:space="preserve"> provider</w:t>
      </w:r>
      <w:r w:rsidRPr="002B0A86">
        <w:rPr>
          <w:rFonts w:eastAsia="Times New Roman"/>
        </w:rPr>
        <w:t xml:space="preserve"> to make an assessment (healthcare also need to alert the prison where they suspect someone </w:t>
      </w:r>
      <w:r w:rsidR="00A840BC">
        <w:rPr>
          <w:rFonts w:eastAsia="Times New Roman"/>
        </w:rPr>
        <w:t xml:space="preserve">is </w:t>
      </w:r>
      <w:r w:rsidRPr="002B0A86">
        <w:rPr>
          <w:rFonts w:eastAsia="Times New Roman"/>
        </w:rPr>
        <w:t>COVID19/symptomatic/awaiting a test)</w:t>
      </w:r>
      <w:r w:rsidR="002B0A86" w:rsidRPr="002B0A86">
        <w:rPr>
          <w:rFonts w:eastAsia="Times New Roman" w:cs="Times New Roman"/>
        </w:rPr>
        <w:t xml:space="preserve">. </w:t>
      </w:r>
      <w:r w:rsidRPr="002B0A86">
        <w:rPr>
          <w:rFonts w:eastAsia="Times New Roman"/>
        </w:rPr>
        <w:t>The healthcare practitioner must then make a judgement as to whether that individual is “fit for court” and record this on the PER in the normal way.</w:t>
      </w:r>
    </w:p>
    <w:p w14:paraId="691435AA" w14:textId="17FC8C4C" w:rsidR="00DC610D" w:rsidRPr="00F82782" w:rsidRDefault="002B0A86" w:rsidP="00F82782">
      <w:pPr>
        <w:spacing w:after="0" w:line="240" w:lineRule="auto"/>
        <w:jc w:val="both"/>
        <w:rPr>
          <w:rFonts w:eastAsia="Times New Roman"/>
        </w:rPr>
      </w:pPr>
      <w:r w:rsidRPr="002B0A86">
        <w:rPr>
          <w:rFonts w:eastAsia="Times New Roman"/>
        </w:rPr>
        <w:br/>
        <w:t xml:space="preserve">Decisions must be based on the </w:t>
      </w:r>
      <w:r w:rsidR="00C11FAA" w:rsidRPr="002B0A86">
        <w:rPr>
          <w:rFonts w:eastAsia="Times New Roman"/>
        </w:rPr>
        <w:t>individual</w:t>
      </w:r>
      <w:r w:rsidRPr="002B0A86">
        <w:rPr>
          <w:rFonts w:eastAsia="Times New Roman"/>
        </w:rPr>
        <w:t xml:space="preserve"> meeting one of the published ‘</w:t>
      </w:r>
      <w:proofErr w:type="gramStart"/>
      <w:r w:rsidR="00C11FAA" w:rsidRPr="002B0A86">
        <w:rPr>
          <w:rFonts w:eastAsia="Times New Roman"/>
        </w:rPr>
        <w:t>eligibilities</w:t>
      </w:r>
      <w:r w:rsidRPr="002B0A86">
        <w:rPr>
          <w:rFonts w:eastAsia="Times New Roman"/>
        </w:rPr>
        <w:t>’</w:t>
      </w:r>
      <w:proofErr w:type="gramEnd"/>
      <w:r w:rsidR="00A840BC">
        <w:rPr>
          <w:rFonts w:eastAsia="Times New Roman"/>
        </w:rPr>
        <w:t>.</w:t>
      </w:r>
      <w:r w:rsidRPr="002B0A86">
        <w:rPr>
          <w:rFonts w:eastAsia="Times New Roman"/>
        </w:rPr>
        <w:t xml:space="preserve"> </w:t>
      </w:r>
      <w:r w:rsidR="00A840BC">
        <w:rPr>
          <w:rFonts w:eastAsia="Times New Roman"/>
        </w:rPr>
        <w:t xml:space="preserve"> R</w:t>
      </w:r>
      <w:r w:rsidRPr="002B0A86">
        <w:rPr>
          <w:rFonts w:eastAsia="Times New Roman"/>
        </w:rPr>
        <w:t xml:space="preserve">esiding in an outbreak site is not considered to be sufficient reason to not produce an individual. </w:t>
      </w:r>
      <w:r w:rsidR="00DC610D" w:rsidRPr="002B0A86">
        <w:rPr>
          <w:rFonts w:eastAsia="Times New Roman"/>
        </w:rPr>
        <w:t>Where the prisoner is declared unfit for court</w:t>
      </w:r>
      <w:r w:rsidR="00A840BC">
        <w:rPr>
          <w:rFonts w:eastAsia="Times New Roman"/>
        </w:rPr>
        <w:t>,</w:t>
      </w:r>
      <w:r w:rsidR="00DC610D" w:rsidRPr="002B0A86">
        <w:rPr>
          <w:rFonts w:eastAsia="Times New Roman"/>
        </w:rPr>
        <w:t xml:space="preserve"> the prison must notify the court immediately and explain that this is due </w:t>
      </w:r>
      <w:r w:rsidRPr="002B0A86">
        <w:rPr>
          <w:rFonts w:eastAsia="Times New Roman"/>
        </w:rPr>
        <w:t xml:space="preserve">to a confirmed or suspected COVID-19 case. Discussions should then begin to determine a suitable alternative to physical production of the individual. </w:t>
      </w:r>
    </w:p>
    <w:p w14:paraId="475BB32B" w14:textId="77777777" w:rsidR="00C11FAA" w:rsidRPr="00C11FAA" w:rsidRDefault="00C11FAA" w:rsidP="00F82782">
      <w:pPr>
        <w:spacing w:after="0" w:line="240" w:lineRule="auto"/>
        <w:jc w:val="both"/>
        <w:rPr>
          <w:rFonts w:eastAsia="Times New Roman" w:cs="Times New Roman"/>
        </w:rPr>
      </w:pPr>
    </w:p>
    <w:p w14:paraId="23F54E7E" w14:textId="2AB7E15E" w:rsidR="00DC610D" w:rsidRPr="002B0A86" w:rsidRDefault="002B0A86" w:rsidP="00F82782">
      <w:pPr>
        <w:spacing w:after="0" w:line="240" w:lineRule="auto"/>
        <w:jc w:val="both"/>
        <w:rPr>
          <w:rFonts w:eastAsia="Times New Roman"/>
        </w:rPr>
      </w:pPr>
      <w:r w:rsidRPr="002B0A86">
        <w:t xml:space="preserve">We expect that as a standard, courts will not expect production of such individuals, however if the judge </w:t>
      </w:r>
      <w:r w:rsidR="00C11FAA" w:rsidRPr="002B0A86">
        <w:t>confirms</w:t>
      </w:r>
      <w:r w:rsidRPr="002B0A86">
        <w:t xml:space="preserve"> that the individual is required to be produced, </w:t>
      </w:r>
      <w:r w:rsidR="00D168BF">
        <w:t xml:space="preserve">the </w:t>
      </w:r>
      <w:r w:rsidR="00DC610D" w:rsidRPr="002B0A86">
        <w:rPr>
          <w:rFonts w:eastAsia="Times New Roman"/>
        </w:rPr>
        <w:t xml:space="preserve">prison must escalate this to PECS immediately via their </w:t>
      </w:r>
      <w:r w:rsidRPr="002B0A86">
        <w:rPr>
          <w:rFonts w:eastAsia="Times New Roman"/>
        </w:rPr>
        <w:t xml:space="preserve">local designated </w:t>
      </w:r>
      <w:r w:rsidR="00D168BF">
        <w:rPr>
          <w:rFonts w:eastAsia="Times New Roman"/>
        </w:rPr>
        <w:t>Contract Delivery Manager</w:t>
      </w:r>
      <w:r w:rsidRPr="002B0A86">
        <w:rPr>
          <w:rFonts w:eastAsia="Times New Roman"/>
        </w:rPr>
        <w:t xml:space="preserve">. </w:t>
      </w:r>
      <w:r w:rsidR="00DC610D" w:rsidRPr="002B0A86">
        <w:rPr>
          <w:rFonts w:eastAsia="Times New Roman"/>
        </w:rPr>
        <w:t>PECS will then liaise with the Court in question</w:t>
      </w:r>
    </w:p>
    <w:p w14:paraId="20DEEB66" w14:textId="77777777" w:rsidR="00626068" w:rsidRDefault="00626068" w:rsidP="00F82782">
      <w:pPr>
        <w:spacing w:after="0" w:line="240" w:lineRule="auto"/>
        <w:jc w:val="both"/>
        <w:rPr>
          <w:rFonts w:cs="Arial"/>
        </w:rPr>
      </w:pPr>
    </w:p>
    <w:p w14:paraId="14D0F165" w14:textId="77777777" w:rsidR="00DC610D" w:rsidRPr="002B0A86" w:rsidRDefault="002B0A86" w:rsidP="00F82782">
      <w:pPr>
        <w:spacing w:after="0" w:line="240" w:lineRule="auto"/>
        <w:jc w:val="both"/>
        <w:rPr>
          <w:rFonts w:cs="Arial"/>
        </w:rPr>
      </w:pPr>
      <w:r w:rsidRPr="002B0A86">
        <w:rPr>
          <w:rFonts w:cs="Arial"/>
        </w:rPr>
        <w:t xml:space="preserve">As a standard, establishments are requested to inform </w:t>
      </w:r>
      <w:r w:rsidR="00C11FAA" w:rsidRPr="002B0A86">
        <w:rPr>
          <w:rFonts w:cs="Arial"/>
        </w:rPr>
        <w:t>receiving</w:t>
      </w:r>
      <w:r w:rsidRPr="002B0A86">
        <w:rPr>
          <w:rFonts w:cs="Arial"/>
        </w:rPr>
        <w:t xml:space="preserve"> courts when prisons have declared a local outbreak. </w:t>
      </w:r>
    </w:p>
    <w:p w14:paraId="2EC97D52" w14:textId="77777777" w:rsidR="00DC610D" w:rsidRPr="002B0A86" w:rsidRDefault="00DC610D" w:rsidP="003F75E2">
      <w:pPr>
        <w:jc w:val="both"/>
      </w:pPr>
    </w:p>
    <w:sectPr w:rsidR="00DC610D" w:rsidRPr="002B0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992"/>
    <w:multiLevelType w:val="hybridMultilevel"/>
    <w:tmpl w:val="020E1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E22B1"/>
    <w:multiLevelType w:val="hybridMultilevel"/>
    <w:tmpl w:val="D6B21958"/>
    <w:lvl w:ilvl="0" w:tplc="5CBAA7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C5AD6"/>
    <w:multiLevelType w:val="multilevel"/>
    <w:tmpl w:val="1AA6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BC5AE1"/>
    <w:multiLevelType w:val="hybridMultilevel"/>
    <w:tmpl w:val="C4904DF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2B1B9C"/>
    <w:multiLevelType w:val="hybridMultilevel"/>
    <w:tmpl w:val="4CA00CB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8577AC"/>
    <w:multiLevelType w:val="hybridMultilevel"/>
    <w:tmpl w:val="602CD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34E91"/>
    <w:multiLevelType w:val="multilevel"/>
    <w:tmpl w:val="AAAA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C27E25"/>
    <w:multiLevelType w:val="multilevel"/>
    <w:tmpl w:val="508A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D23815"/>
    <w:multiLevelType w:val="hybridMultilevel"/>
    <w:tmpl w:val="2E6A103A"/>
    <w:lvl w:ilvl="0" w:tplc="CC3A6B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35F2D"/>
    <w:multiLevelType w:val="hybridMultilevel"/>
    <w:tmpl w:val="788E7A3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9EB"/>
    <w:rsid w:val="00003E44"/>
    <w:rsid w:val="0000579C"/>
    <w:rsid w:val="00012A19"/>
    <w:rsid w:val="00044124"/>
    <w:rsid w:val="000E4E3D"/>
    <w:rsid w:val="001131BB"/>
    <w:rsid w:val="00173212"/>
    <w:rsid w:val="00181174"/>
    <w:rsid w:val="00193B7F"/>
    <w:rsid w:val="001E5988"/>
    <w:rsid w:val="001F60F3"/>
    <w:rsid w:val="00220E9D"/>
    <w:rsid w:val="002800C2"/>
    <w:rsid w:val="002A34B3"/>
    <w:rsid w:val="002A4CAD"/>
    <w:rsid w:val="002B0A86"/>
    <w:rsid w:val="002D1A14"/>
    <w:rsid w:val="002F5387"/>
    <w:rsid w:val="00315384"/>
    <w:rsid w:val="00364237"/>
    <w:rsid w:val="003B1B3F"/>
    <w:rsid w:val="003C5A63"/>
    <w:rsid w:val="003F45A6"/>
    <w:rsid w:val="003F75E2"/>
    <w:rsid w:val="004044F2"/>
    <w:rsid w:val="00454472"/>
    <w:rsid w:val="0049611F"/>
    <w:rsid w:val="004A3B90"/>
    <w:rsid w:val="004C4E03"/>
    <w:rsid w:val="00596FB0"/>
    <w:rsid w:val="005A43CE"/>
    <w:rsid w:val="005D6D97"/>
    <w:rsid w:val="00626068"/>
    <w:rsid w:val="00670575"/>
    <w:rsid w:val="00687268"/>
    <w:rsid w:val="006B36B3"/>
    <w:rsid w:val="00731533"/>
    <w:rsid w:val="00734F84"/>
    <w:rsid w:val="007714A6"/>
    <w:rsid w:val="00774CED"/>
    <w:rsid w:val="007E056D"/>
    <w:rsid w:val="00860A9E"/>
    <w:rsid w:val="00880EC8"/>
    <w:rsid w:val="00894ED4"/>
    <w:rsid w:val="008A3ACB"/>
    <w:rsid w:val="009158A8"/>
    <w:rsid w:val="0097067F"/>
    <w:rsid w:val="00973E52"/>
    <w:rsid w:val="009811AE"/>
    <w:rsid w:val="009A0EA0"/>
    <w:rsid w:val="009C6C61"/>
    <w:rsid w:val="009D20F7"/>
    <w:rsid w:val="009F1093"/>
    <w:rsid w:val="00A00626"/>
    <w:rsid w:val="00A11321"/>
    <w:rsid w:val="00A802B7"/>
    <w:rsid w:val="00A840BC"/>
    <w:rsid w:val="00B31C3D"/>
    <w:rsid w:val="00B9485D"/>
    <w:rsid w:val="00BA7812"/>
    <w:rsid w:val="00BC7F7A"/>
    <w:rsid w:val="00BE4118"/>
    <w:rsid w:val="00BE7A04"/>
    <w:rsid w:val="00C059EB"/>
    <w:rsid w:val="00C11FAA"/>
    <w:rsid w:val="00C25359"/>
    <w:rsid w:val="00C524D3"/>
    <w:rsid w:val="00C5552A"/>
    <w:rsid w:val="00C6761F"/>
    <w:rsid w:val="00C772A7"/>
    <w:rsid w:val="00CA0BAC"/>
    <w:rsid w:val="00CA5895"/>
    <w:rsid w:val="00D00778"/>
    <w:rsid w:val="00D05062"/>
    <w:rsid w:val="00D0659B"/>
    <w:rsid w:val="00D168BF"/>
    <w:rsid w:val="00D41F29"/>
    <w:rsid w:val="00D457E6"/>
    <w:rsid w:val="00D46FA6"/>
    <w:rsid w:val="00D7743D"/>
    <w:rsid w:val="00D90784"/>
    <w:rsid w:val="00DC610D"/>
    <w:rsid w:val="00DF1D36"/>
    <w:rsid w:val="00E10141"/>
    <w:rsid w:val="00E47015"/>
    <w:rsid w:val="00E815C4"/>
    <w:rsid w:val="00EB5EDE"/>
    <w:rsid w:val="00EF734A"/>
    <w:rsid w:val="00F12729"/>
    <w:rsid w:val="00F12C9E"/>
    <w:rsid w:val="00F82782"/>
    <w:rsid w:val="00FC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60676"/>
  <w15:chartTrackingRefBased/>
  <w15:docId w15:val="{B9599DB4-8E1E-4BDD-A433-11EAC327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387"/>
  </w:style>
  <w:style w:type="paragraph" w:styleId="Heading2">
    <w:name w:val="heading 2"/>
    <w:basedOn w:val="Normal"/>
    <w:link w:val="Heading2Char"/>
    <w:uiPriority w:val="9"/>
    <w:qFormat/>
    <w:rsid w:val="00FC62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C62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623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C623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number">
    <w:name w:val="number"/>
    <w:basedOn w:val="DefaultParagraphFont"/>
    <w:rsid w:val="00FC6233"/>
  </w:style>
  <w:style w:type="paragraph" w:styleId="NormalWeb">
    <w:name w:val="Normal (Web)"/>
    <w:basedOn w:val="Normal"/>
    <w:uiPriority w:val="99"/>
    <w:unhideWhenUsed/>
    <w:rsid w:val="00FC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54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7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,L"/>
    <w:basedOn w:val="Normal"/>
    <w:link w:val="ListParagraphChar"/>
    <w:uiPriority w:val="34"/>
    <w:qFormat/>
    <w:rsid w:val="002F5387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2F5387"/>
  </w:style>
  <w:style w:type="paragraph" w:styleId="NoSpacing">
    <w:name w:val="No Spacing"/>
    <w:uiPriority w:val="1"/>
    <w:qFormat/>
    <w:rsid w:val="004C4E03"/>
    <w:pPr>
      <w:spacing w:after="0" w:line="240" w:lineRule="auto"/>
    </w:pPr>
  </w:style>
  <w:style w:type="paragraph" w:customStyle="1" w:styleId="xmsonormal">
    <w:name w:val="x_msonormal"/>
    <w:basedOn w:val="Normal"/>
    <w:rsid w:val="00C25359"/>
    <w:pPr>
      <w:spacing w:after="0" w:line="240" w:lineRule="auto"/>
    </w:pPr>
    <w:rPr>
      <w:rFonts w:ascii="Calibri" w:hAnsi="Calibri" w:cs="Times New Roman"/>
      <w:lang w:eastAsia="en-GB"/>
    </w:rPr>
  </w:style>
  <w:style w:type="table" w:customStyle="1" w:styleId="HMPPSTable">
    <w:name w:val="HMPPS Table"/>
    <w:basedOn w:val="TableNormal"/>
    <w:uiPriority w:val="99"/>
    <w:rsid w:val="00B31C3D"/>
    <w:pPr>
      <w:spacing w:after="0" w:line="240" w:lineRule="auto"/>
    </w:pPr>
    <w:rPr>
      <w:rFonts w:ascii="Arial" w:eastAsia="Calibri" w:hAnsi="Arial" w:cs="Arial"/>
      <w:szCs w:val="20"/>
      <w:lang w:eastAsia="en-GB"/>
    </w:rPr>
    <w:tblPr>
      <w:tblBorders>
        <w:top w:val="single" w:sz="4" w:space="0" w:color="7F4098"/>
        <w:left w:val="single" w:sz="4" w:space="0" w:color="7F4098"/>
        <w:bottom w:val="single" w:sz="4" w:space="0" w:color="7F4098"/>
        <w:right w:val="single" w:sz="4" w:space="0" w:color="7F4098"/>
        <w:insideH w:val="single" w:sz="4" w:space="0" w:color="7F4098"/>
        <w:insideV w:val="single" w:sz="4" w:space="0" w:color="7F4098"/>
      </w:tblBorders>
      <w:tblCellMar>
        <w:top w:w="57" w:type="dxa"/>
        <w:left w:w="113" w:type="dxa"/>
        <w:bottom w:w="57" w:type="dxa"/>
        <w:right w:w="113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7F4098"/>
          <w:left w:val="single" w:sz="4" w:space="0" w:color="7F4098"/>
          <w:bottom w:val="single" w:sz="4" w:space="0" w:color="7F4098"/>
          <w:right w:val="single" w:sz="4" w:space="0" w:color="7F4098"/>
          <w:insideH w:val="single" w:sz="4" w:space="0" w:color="7F4098"/>
          <w:insideV w:val="single" w:sz="4" w:space="0" w:color="7F4098"/>
          <w:tl2br w:val="nil"/>
          <w:tr2bl w:val="nil"/>
        </w:tcBorders>
        <w:shd w:val="clear" w:color="auto" w:fill="7F4098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A0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B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B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B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B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61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2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uk/guidance/hmcts-telephone-and-video-hearings-during-coronavirus-outbre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B7F6DDD-5B54-4DE1-9855-81157DA4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Bruski, Milosz [HMPS]</dc:creator>
  <cp:keywords/>
  <dc:description/>
  <cp:lastModifiedBy>Stevenson, Roy [HMPS]</cp:lastModifiedBy>
  <cp:revision>4</cp:revision>
  <dcterms:created xsi:type="dcterms:W3CDTF">2021-09-19T06:14:00Z</dcterms:created>
  <dcterms:modified xsi:type="dcterms:W3CDTF">2021-09-24T17:48:00Z</dcterms:modified>
</cp:coreProperties>
</file>