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E0468" w14:textId="1F4B56EC" w:rsidR="002A0F27" w:rsidRDefault="00E141C2" w:rsidP="00BE3FBC">
      <w:pPr>
        <w:spacing w:line="240" w:lineRule="auto"/>
        <w:rPr>
          <w:b/>
          <w:bCs/>
          <w:sz w:val="28"/>
          <w:szCs w:val="28"/>
          <w:highlight w:val="yellow"/>
          <w:u w:val="single"/>
        </w:rPr>
      </w:pPr>
      <w:r w:rsidRPr="619F47D8">
        <w:rPr>
          <w:b/>
          <w:bCs/>
          <w:sz w:val="28"/>
          <w:szCs w:val="28"/>
          <w:u w:val="single"/>
        </w:rPr>
        <w:t xml:space="preserve">Gold Brief </w:t>
      </w:r>
      <w:r w:rsidR="709F70C6" w:rsidRPr="619F47D8">
        <w:rPr>
          <w:b/>
          <w:bCs/>
          <w:sz w:val="28"/>
          <w:szCs w:val="28"/>
          <w:u w:val="single"/>
        </w:rPr>
        <w:t xml:space="preserve">19 August 2021 </w:t>
      </w:r>
      <w:r w:rsidRPr="619F47D8">
        <w:rPr>
          <w:b/>
          <w:bCs/>
          <w:sz w:val="28"/>
          <w:szCs w:val="28"/>
          <w:u w:val="single"/>
        </w:rPr>
        <w:t xml:space="preserve">- </w:t>
      </w:r>
      <w:r w:rsidR="6E634F61" w:rsidRPr="619F47D8">
        <w:rPr>
          <w:b/>
          <w:bCs/>
          <w:sz w:val="28"/>
          <w:szCs w:val="28"/>
          <w:u w:val="single"/>
        </w:rPr>
        <w:t>Update on</w:t>
      </w:r>
      <w:r w:rsidRPr="619F47D8">
        <w:rPr>
          <w:b/>
          <w:bCs/>
          <w:sz w:val="28"/>
          <w:szCs w:val="28"/>
          <w:u w:val="single"/>
        </w:rPr>
        <w:t xml:space="preserve"> </w:t>
      </w:r>
      <w:r w:rsidR="00A232B4" w:rsidRPr="619F47D8">
        <w:rPr>
          <w:b/>
          <w:bCs/>
          <w:sz w:val="28"/>
          <w:szCs w:val="28"/>
          <w:u w:val="single"/>
        </w:rPr>
        <w:t xml:space="preserve">Regime Mitigations </w:t>
      </w:r>
    </w:p>
    <w:p w14:paraId="2C9AEAD9" w14:textId="37C15552" w:rsidR="00BE3FBC" w:rsidRDefault="00D622DF" w:rsidP="00BE3FBC">
      <w:pPr>
        <w:spacing w:line="240" w:lineRule="auto"/>
        <w:rPr>
          <w:rFonts w:cstheme="minorHAnsi"/>
          <w:u w:val="single"/>
        </w:rPr>
      </w:pPr>
      <w:r w:rsidRPr="00881EB1">
        <w:rPr>
          <w:rFonts w:cstheme="minorHAnsi"/>
          <w:u w:val="single"/>
        </w:rPr>
        <w:t>Purpose</w:t>
      </w:r>
      <w:r w:rsidR="00A232B4" w:rsidRPr="00881EB1">
        <w:rPr>
          <w:rFonts w:cstheme="minorHAnsi"/>
          <w:u w:val="single"/>
        </w:rPr>
        <w:t xml:space="preserve"> </w:t>
      </w:r>
    </w:p>
    <w:p w14:paraId="7645D1D4" w14:textId="6425D2CF" w:rsidR="00BC0C7E" w:rsidRPr="00BC0C7E" w:rsidRDefault="00D622DF" w:rsidP="00BC0C7E">
      <w:pPr>
        <w:spacing w:line="240" w:lineRule="auto"/>
        <w:rPr>
          <w:rFonts w:cstheme="minorHAnsi"/>
        </w:rPr>
      </w:pPr>
      <w:r>
        <w:rPr>
          <w:rFonts w:cstheme="minorHAnsi"/>
          <w:u w:val="single"/>
        </w:rPr>
        <w:t>On 23 July, we updated you on our review of Covid-19 regime mitigations</w:t>
      </w:r>
      <w:r w:rsidR="004263F6">
        <w:rPr>
          <w:rFonts w:cstheme="minorHAnsi"/>
          <w:u w:val="single"/>
        </w:rPr>
        <w:t xml:space="preserve"> and the expectation that these would wind down in the coming we</w:t>
      </w:r>
      <w:r w:rsidR="0001146F">
        <w:rPr>
          <w:rFonts w:cstheme="minorHAnsi"/>
          <w:u w:val="single"/>
        </w:rPr>
        <w:t>e</w:t>
      </w:r>
      <w:r w:rsidR="002320CC">
        <w:rPr>
          <w:rFonts w:cstheme="minorHAnsi"/>
          <w:u w:val="single"/>
        </w:rPr>
        <w:t xml:space="preserve">ks and months. </w:t>
      </w:r>
      <w:r w:rsidR="0001146F" w:rsidRPr="008C1A51">
        <w:rPr>
          <w:rFonts w:cstheme="minorHAnsi"/>
        </w:rPr>
        <w:t>Following our final review, the</w:t>
      </w:r>
      <w:r w:rsidR="00A748B7">
        <w:rPr>
          <w:rFonts w:cstheme="minorHAnsi"/>
        </w:rPr>
        <w:t xml:space="preserve"> </w:t>
      </w:r>
      <w:r w:rsidR="0001146F" w:rsidRPr="0073450B">
        <w:rPr>
          <w:rFonts w:cstheme="minorHAnsi"/>
        </w:rPr>
        <w:t xml:space="preserve">Prison Operational Management Committee (POMC) and HMPPS Leadership Team (HLT) have agreed to </w:t>
      </w:r>
      <w:r w:rsidR="0001146F">
        <w:rPr>
          <w:rFonts w:cstheme="minorHAnsi"/>
        </w:rPr>
        <w:t>maintain the deadline of the end of September</w:t>
      </w:r>
      <w:r w:rsidR="003908E2">
        <w:rPr>
          <w:rFonts w:cstheme="minorHAnsi"/>
        </w:rPr>
        <w:t xml:space="preserve"> 2021</w:t>
      </w:r>
      <w:r w:rsidR="00F126F8">
        <w:rPr>
          <w:rFonts w:cstheme="minorHAnsi"/>
        </w:rPr>
        <w:t xml:space="preserve">. </w:t>
      </w:r>
    </w:p>
    <w:p w14:paraId="649B311A" w14:textId="13F84D66" w:rsidR="00F126F8" w:rsidRPr="00881EB1" w:rsidRDefault="00746266" w:rsidP="0073450B">
      <w:pPr>
        <w:spacing w:line="240" w:lineRule="auto"/>
        <w:rPr>
          <w:rFonts w:cstheme="minorHAnsi"/>
          <w:u w:val="single"/>
        </w:rPr>
      </w:pPr>
      <w:r>
        <w:rPr>
          <w:rFonts w:cstheme="minorHAnsi"/>
        </w:rPr>
        <w:t xml:space="preserve">The purpose of this briefing is to </w:t>
      </w:r>
      <w:r w:rsidR="00092D41">
        <w:rPr>
          <w:rFonts w:cstheme="minorHAnsi"/>
        </w:rPr>
        <w:t xml:space="preserve">provide further information </w:t>
      </w:r>
      <w:r w:rsidR="00F41F28">
        <w:rPr>
          <w:rFonts w:cstheme="minorHAnsi"/>
        </w:rPr>
        <w:t>on the timescale for winding down the various regime mitigations</w:t>
      </w:r>
      <w:r w:rsidR="00AA41F5">
        <w:rPr>
          <w:rFonts w:cstheme="minorHAnsi"/>
        </w:rPr>
        <w:t>,</w:t>
      </w:r>
      <w:r w:rsidR="00F41F28">
        <w:rPr>
          <w:rFonts w:cstheme="minorHAnsi"/>
        </w:rPr>
        <w:t xml:space="preserve"> </w:t>
      </w:r>
      <w:r w:rsidR="00103550">
        <w:rPr>
          <w:rFonts w:cstheme="minorHAnsi"/>
        </w:rPr>
        <w:t>the process, where necessary, to extend or re-introduce them</w:t>
      </w:r>
      <w:r w:rsidR="00AA41F5">
        <w:rPr>
          <w:rFonts w:cstheme="minorHAnsi"/>
        </w:rPr>
        <w:t xml:space="preserve">, and the planned communications around this. </w:t>
      </w:r>
    </w:p>
    <w:p w14:paraId="7364D580" w14:textId="16030924" w:rsidR="003358AC" w:rsidRPr="0073450B" w:rsidRDefault="003358AC" w:rsidP="0073450B">
      <w:pPr>
        <w:spacing w:line="240" w:lineRule="auto"/>
        <w:rPr>
          <w:rFonts w:cstheme="minorHAnsi"/>
          <w:u w:val="single"/>
        </w:rPr>
      </w:pPr>
      <w:r w:rsidRPr="0073450B">
        <w:rPr>
          <w:rFonts w:cstheme="minorHAnsi"/>
          <w:u w:val="single"/>
        </w:rPr>
        <w:t>Update on timescales</w:t>
      </w:r>
    </w:p>
    <w:p w14:paraId="256F42C8" w14:textId="5E14C7A6" w:rsidR="007D2FA8" w:rsidRPr="0073450B" w:rsidRDefault="00085F6D" w:rsidP="0073450B">
      <w:pPr>
        <w:spacing w:line="240" w:lineRule="auto"/>
        <w:rPr>
          <w:rFonts w:cstheme="minorHAnsi"/>
        </w:rPr>
      </w:pPr>
      <w:r>
        <w:rPr>
          <w:rFonts w:cstheme="minorHAnsi"/>
        </w:rPr>
        <w:t xml:space="preserve">The expectation throughout has been that </w:t>
      </w:r>
      <w:r w:rsidR="00B70A50">
        <w:rPr>
          <w:rFonts w:cstheme="minorHAnsi"/>
        </w:rPr>
        <w:t>these regime mitigations are temporary and should be</w:t>
      </w:r>
      <w:r>
        <w:rPr>
          <w:rFonts w:cstheme="minorHAnsi"/>
        </w:rPr>
        <w:t xml:space="preserve"> removed in line with regime progression through the National Framework. Given this continued progression it has been agreed that </w:t>
      </w:r>
      <w:r w:rsidRPr="00B70A50">
        <w:rPr>
          <w:rFonts w:cstheme="minorHAnsi"/>
          <w:b/>
          <w:bCs/>
        </w:rPr>
        <w:t xml:space="preserve">all central funding of regime mitigations (bar exceptions </w:t>
      </w:r>
      <w:r w:rsidR="00812527">
        <w:rPr>
          <w:rFonts w:cstheme="minorHAnsi"/>
          <w:b/>
          <w:bCs/>
        </w:rPr>
        <w:t>mention</w:t>
      </w:r>
      <w:r w:rsidR="00223061">
        <w:rPr>
          <w:rFonts w:cstheme="minorHAnsi"/>
          <w:b/>
          <w:bCs/>
        </w:rPr>
        <w:t>ed</w:t>
      </w:r>
      <w:r w:rsidRPr="00B70A50">
        <w:rPr>
          <w:rFonts w:cstheme="minorHAnsi"/>
          <w:b/>
          <w:bCs/>
        </w:rPr>
        <w:t>) will come to an end on 3</w:t>
      </w:r>
      <w:r w:rsidR="00A55847">
        <w:rPr>
          <w:rFonts w:cstheme="minorHAnsi"/>
          <w:b/>
          <w:bCs/>
        </w:rPr>
        <w:t>0</w:t>
      </w:r>
      <w:r w:rsidR="00A55847" w:rsidRPr="00A55847">
        <w:rPr>
          <w:rFonts w:cstheme="minorHAnsi"/>
          <w:b/>
          <w:bCs/>
          <w:vertAlign w:val="superscript"/>
        </w:rPr>
        <w:t>th</w:t>
      </w:r>
      <w:r w:rsidRPr="00B70A50">
        <w:rPr>
          <w:rFonts w:cstheme="minorHAnsi"/>
          <w:b/>
          <w:bCs/>
        </w:rPr>
        <w:t xml:space="preserve"> September.</w:t>
      </w:r>
      <w:r>
        <w:rPr>
          <w:rFonts w:cstheme="minorHAnsi"/>
        </w:rPr>
        <w:t xml:space="preserve"> There will be a process, where required, for extending or re-introducing them (see below).</w:t>
      </w:r>
      <w:r w:rsidR="00CD64B8">
        <w:rPr>
          <w:rFonts w:cstheme="minorHAnsi"/>
        </w:rPr>
        <w:t xml:space="preserve"> </w:t>
      </w:r>
      <w:r w:rsidR="000A0096" w:rsidRPr="0073450B">
        <w:rPr>
          <w:rFonts w:cstheme="minorHAnsi"/>
        </w:rPr>
        <w:t>Details on how these mitigations can be wound down and the deadlines associated can be found in the attached table (see Annex A).</w:t>
      </w:r>
      <w:r>
        <w:rPr>
          <w:rFonts w:cstheme="minorHAnsi"/>
        </w:rPr>
        <w:t xml:space="preserve"> </w:t>
      </w:r>
    </w:p>
    <w:p w14:paraId="056D3D8B" w14:textId="1FBC619A" w:rsidR="003358AC" w:rsidRPr="0073450B" w:rsidRDefault="003358AC" w:rsidP="0073450B">
      <w:pPr>
        <w:spacing w:line="240" w:lineRule="auto"/>
        <w:rPr>
          <w:rFonts w:cstheme="minorHAnsi"/>
          <w:u w:val="single"/>
        </w:rPr>
      </w:pPr>
      <w:r w:rsidRPr="0073450B">
        <w:rPr>
          <w:rFonts w:cstheme="minorHAnsi"/>
          <w:u w:val="single"/>
        </w:rPr>
        <w:t>Process for Extending or Reintroducing Mitigations</w:t>
      </w:r>
    </w:p>
    <w:p w14:paraId="480E7CF4" w14:textId="01005C22" w:rsidR="009F20F6" w:rsidRPr="0073450B" w:rsidRDefault="002025D9" w:rsidP="0073450B">
      <w:pPr>
        <w:spacing w:line="240" w:lineRule="auto"/>
        <w:rPr>
          <w:rFonts w:cstheme="minorHAnsi"/>
        </w:rPr>
      </w:pPr>
      <w:r>
        <w:rPr>
          <w:rFonts w:cstheme="minorHAnsi"/>
        </w:rPr>
        <w:t xml:space="preserve">The expectation remains that regime mitigations should not be required where fuller regime is being </w:t>
      </w:r>
      <w:r w:rsidR="00FE62D9">
        <w:rPr>
          <w:rFonts w:cstheme="minorHAnsi"/>
        </w:rPr>
        <w:t>delivered</w:t>
      </w:r>
      <w:r w:rsidR="005368EE">
        <w:rPr>
          <w:rFonts w:cstheme="minorHAnsi"/>
        </w:rPr>
        <w:t>, particularly as some of these mitigations were introduce</w:t>
      </w:r>
      <w:r w:rsidR="004B1061">
        <w:rPr>
          <w:rFonts w:cstheme="minorHAnsi"/>
        </w:rPr>
        <w:t>d</w:t>
      </w:r>
      <w:r w:rsidR="005368EE">
        <w:rPr>
          <w:rFonts w:cstheme="minorHAnsi"/>
        </w:rPr>
        <w:t xml:space="preserve"> to mitigate against the loss of social visits, which are now live across the estate</w:t>
      </w:r>
      <w:r w:rsidR="00FE62D9">
        <w:rPr>
          <w:rFonts w:cstheme="minorHAnsi"/>
        </w:rPr>
        <w:t>. H</w:t>
      </w:r>
      <w:r>
        <w:rPr>
          <w:rFonts w:cstheme="minorHAnsi"/>
        </w:rPr>
        <w:t>owever</w:t>
      </w:r>
      <w:r w:rsidR="004B1061">
        <w:rPr>
          <w:rFonts w:cstheme="minorHAnsi"/>
        </w:rPr>
        <w:t xml:space="preserve">, </w:t>
      </w:r>
      <w:r>
        <w:rPr>
          <w:rFonts w:cstheme="minorHAnsi"/>
        </w:rPr>
        <w:t xml:space="preserve">as it was the case </w:t>
      </w:r>
      <w:r w:rsidR="00714D1E">
        <w:rPr>
          <w:rFonts w:cstheme="minorHAnsi"/>
        </w:rPr>
        <w:t>p</w:t>
      </w:r>
      <w:r>
        <w:rPr>
          <w:rFonts w:cstheme="minorHAnsi"/>
        </w:rPr>
        <w:t>re-</w:t>
      </w:r>
      <w:proofErr w:type="spellStart"/>
      <w:r>
        <w:rPr>
          <w:rFonts w:cstheme="minorHAnsi"/>
        </w:rPr>
        <w:t>Covid</w:t>
      </w:r>
      <w:proofErr w:type="spellEnd"/>
      <w:r>
        <w:rPr>
          <w:rFonts w:cstheme="minorHAnsi"/>
        </w:rPr>
        <w:t>, Governors may choose to use their local budgets to tailor their regime to their local requirements such as for additional food items and/or pin credit. We ask that where Governors do</w:t>
      </w:r>
      <w:r w:rsidR="00857600">
        <w:rPr>
          <w:rFonts w:cstheme="minorHAnsi"/>
        </w:rPr>
        <w:t xml:space="preserve"> extend or re</w:t>
      </w:r>
      <w:r>
        <w:rPr>
          <w:rFonts w:cstheme="minorHAnsi"/>
        </w:rPr>
        <w:t xml:space="preserve">introduce </w:t>
      </w:r>
      <w:r w:rsidR="00857600">
        <w:rPr>
          <w:rFonts w:cstheme="minorHAnsi"/>
        </w:rPr>
        <w:t>any of the measures mentioned below using local arrangements</w:t>
      </w:r>
      <w:r w:rsidR="00504D66">
        <w:rPr>
          <w:rFonts w:cstheme="minorHAnsi"/>
        </w:rPr>
        <w:t>,</w:t>
      </w:r>
      <w:r w:rsidR="00857600">
        <w:rPr>
          <w:rFonts w:cstheme="minorHAnsi"/>
        </w:rPr>
        <w:t xml:space="preserve"> that </w:t>
      </w:r>
      <w:r w:rsidR="00181E59">
        <w:rPr>
          <w:rFonts w:cstheme="minorHAnsi"/>
        </w:rPr>
        <w:t xml:space="preserve">this is </w:t>
      </w:r>
      <w:r w:rsidR="002A0F27">
        <w:rPr>
          <w:rFonts w:cstheme="minorHAnsi"/>
        </w:rPr>
        <w:t>discussed with</w:t>
      </w:r>
      <w:r w:rsidR="00181E59">
        <w:rPr>
          <w:rFonts w:cstheme="minorHAnsi"/>
        </w:rPr>
        <w:t xml:space="preserve"> PGDs</w:t>
      </w:r>
      <w:r w:rsidR="00FE463B">
        <w:rPr>
          <w:rFonts w:cstheme="minorHAnsi"/>
        </w:rPr>
        <w:t xml:space="preserve">. </w:t>
      </w:r>
      <w:r w:rsidR="00570751">
        <w:rPr>
          <w:rFonts w:cstheme="minorHAnsi"/>
        </w:rPr>
        <w:t xml:space="preserve"> </w:t>
      </w:r>
      <w:r>
        <w:rPr>
          <w:rFonts w:cstheme="minorHAnsi"/>
        </w:rPr>
        <w:t xml:space="preserve"> </w:t>
      </w:r>
    </w:p>
    <w:p w14:paraId="5B943980" w14:textId="208B5D3B" w:rsidR="003358AC" w:rsidRDefault="009F20F6" w:rsidP="0073450B">
      <w:pPr>
        <w:spacing w:line="240" w:lineRule="auto"/>
        <w:rPr>
          <w:rFonts w:cstheme="minorHAnsi"/>
        </w:rPr>
      </w:pPr>
      <w:r w:rsidRPr="0073450B">
        <w:rPr>
          <w:rFonts w:cstheme="minorHAnsi"/>
        </w:rPr>
        <w:t>In extreme circumstances, such as prolonged periods of increased restrictions and</w:t>
      </w:r>
      <w:r w:rsidR="007B3039">
        <w:rPr>
          <w:rFonts w:cstheme="minorHAnsi"/>
        </w:rPr>
        <w:t xml:space="preserve">/or a suspension </w:t>
      </w:r>
      <w:r w:rsidRPr="0073450B">
        <w:rPr>
          <w:rFonts w:cstheme="minorHAnsi"/>
        </w:rPr>
        <w:t xml:space="preserve">in social visits, where establishments will require the reintroduction of mitigations for a prolonged period of time, establishments can request support by raising a business case (as per staffing support). If endorsed by the PGD and Executive Director this case will go to ORSP to consider whether mitigations can be temporarily extended or re-introduced. </w:t>
      </w:r>
    </w:p>
    <w:p w14:paraId="18E9A418" w14:textId="7364D7F2" w:rsidR="007D2FA8" w:rsidRPr="00792072" w:rsidRDefault="00F64B31" w:rsidP="0073450B">
      <w:pPr>
        <w:spacing w:line="240" w:lineRule="auto"/>
        <w:rPr>
          <w:rFonts w:cstheme="minorHAnsi"/>
        </w:rPr>
      </w:pPr>
      <w:r w:rsidRPr="00714D1E">
        <w:rPr>
          <w:rFonts w:cstheme="minorHAnsi"/>
          <w:b/>
          <w:bCs/>
        </w:rPr>
        <w:t>We ask that you note this process and upcoming changes and consider your regime accordingly</w:t>
      </w:r>
      <w:r>
        <w:rPr>
          <w:rFonts w:cstheme="minorHAnsi"/>
        </w:rPr>
        <w:t xml:space="preserve">, informing us </w:t>
      </w:r>
      <w:r w:rsidR="00B30C44">
        <w:rPr>
          <w:rFonts w:cstheme="minorHAnsi"/>
        </w:rPr>
        <w:t>if</w:t>
      </w:r>
      <w:r>
        <w:rPr>
          <w:rFonts w:cstheme="minorHAnsi"/>
        </w:rPr>
        <w:t xml:space="preserve"> you anticipate a </w:t>
      </w:r>
      <w:r w:rsidR="00B30C44">
        <w:rPr>
          <w:rFonts w:cstheme="minorHAnsi"/>
        </w:rPr>
        <w:t xml:space="preserve">business </w:t>
      </w:r>
      <w:r>
        <w:rPr>
          <w:rFonts w:cstheme="minorHAnsi"/>
        </w:rPr>
        <w:t xml:space="preserve">case will be required to extend beyond </w:t>
      </w:r>
      <w:r w:rsidR="00B30C44">
        <w:rPr>
          <w:rFonts w:cstheme="minorHAnsi"/>
        </w:rPr>
        <w:t>September.</w:t>
      </w:r>
    </w:p>
    <w:p w14:paraId="3FE7D8BC" w14:textId="333E3B30" w:rsidR="003358AC" w:rsidRPr="00792072" w:rsidRDefault="009F20F6" w:rsidP="0073450B">
      <w:pPr>
        <w:spacing w:line="240" w:lineRule="auto"/>
        <w:rPr>
          <w:rFonts w:cstheme="minorHAnsi"/>
          <w:u w:val="single"/>
        </w:rPr>
      </w:pPr>
      <w:r w:rsidRPr="00792072">
        <w:rPr>
          <w:rFonts w:cstheme="minorHAnsi"/>
          <w:u w:val="single"/>
        </w:rPr>
        <w:t>Communications of Changes</w:t>
      </w:r>
    </w:p>
    <w:p w14:paraId="3D798D7E" w14:textId="20478836" w:rsidR="003358AC" w:rsidRPr="00792072" w:rsidRDefault="009F20F6" w:rsidP="0073450B">
      <w:pPr>
        <w:spacing w:line="240" w:lineRule="auto"/>
      </w:pPr>
      <w:r w:rsidRPr="619F47D8">
        <w:t xml:space="preserve">Given the nature of these changes, it is important that careful consideration is given to how this is communicated and handled with prisoners. The Communications </w:t>
      </w:r>
      <w:r w:rsidR="00A748B7">
        <w:t>t</w:t>
      </w:r>
      <w:r w:rsidRPr="619F47D8">
        <w:t xml:space="preserve">eam has prepared an engagement plan which will start engagement with prisoners, their families and key stakeholders to set out the details of our proposal and timescales. The team will share straightforward briefings across the estate, create visual grids allowing comparison of before, during and after the pandemic and use prison radio, in-cell technology and </w:t>
      </w:r>
      <w:proofErr w:type="spellStart"/>
      <w:r w:rsidRPr="619F47D8">
        <w:t>Wayout</w:t>
      </w:r>
      <w:proofErr w:type="spellEnd"/>
      <w:r w:rsidRPr="619F47D8">
        <w:t xml:space="preserve"> TV</w:t>
      </w:r>
      <w:r w:rsidR="00BF1AA7" w:rsidRPr="619F47D8">
        <w:t>,</w:t>
      </w:r>
      <w:r w:rsidR="001E3320" w:rsidRPr="619F47D8">
        <w:t xml:space="preserve"> </w:t>
      </w:r>
      <w:r w:rsidR="00BF1AA7" w:rsidRPr="619F47D8">
        <w:t xml:space="preserve">where available, </w:t>
      </w:r>
      <w:r w:rsidRPr="619F47D8">
        <w:t>to reinforce messaging.</w:t>
      </w:r>
      <w:r w:rsidR="003428D6" w:rsidRPr="619F47D8">
        <w:t xml:space="preserve"> The first batch of communications is due to go out </w:t>
      </w:r>
      <w:r w:rsidR="7F4B3FAC" w:rsidRPr="008C1A51">
        <w:rPr>
          <w:b/>
          <w:bCs/>
        </w:rPr>
        <w:t>Tuesday</w:t>
      </w:r>
      <w:r w:rsidR="00B30C44" w:rsidRPr="008C1A51">
        <w:rPr>
          <w:b/>
          <w:bCs/>
        </w:rPr>
        <w:t xml:space="preserve"> August</w:t>
      </w:r>
      <w:r w:rsidR="7F4B3FAC" w:rsidRPr="008C1A51">
        <w:rPr>
          <w:b/>
          <w:bCs/>
        </w:rPr>
        <w:t xml:space="preserve"> 24</w:t>
      </w:r>
      <w:r w:rsidR="7F4B3FAC" w:rsidRPr="008C1A51">
        <w:rPr>
          <w:b/>
          <w:bCs/>
          <w:vertAlign w:val="superscript"/>
        </w:rPr>
        <w:t>th</w:t>
      </w:r>
      <w:r w:rsidR="00B30C44" w:rsidRPr="619F47D8">
        <w:t xml:space="preserve">, </w:t>
      </w:r>
      <w:r w:rsidR="003428D6" w:rsidRPr="619F47D8">
        <w:t xml:space="preserve"> therefore if there are particular messages or specific approaches your establishment plans to take, it is recommended that </w:t>
      </w:r>
      <w:r w:rsidR="00245249" w:rsidRPr="619F47D8">
        <w:t xml:space="preserve">you prepare </w:t>
      </w:r>
      <w:r w:rsidR="006F7626" w:rsidRPr="619F47D8">
        <w:t>any localised</w:t>
      </w:r>
      <w:r w:rsidR="005F0DFE" w:rsidRPr="619F47D8">
        <w:t xml:space="preserve"> </w:t>
      </w:r>
      <w:r w:rsidR="00C34A77" w:rsidRPr="619F47D8">
        <w:t>comms</w:t>
      </w:r>
      <w:r w:rsidR="001A21B8" w:rsidRPr="619F47D8">
        <w:t xml:space="preserve"> </w:t>
      </w:r>
      <w:r w:rsidR="005F0DFE" w:rsidRPr="619F47D8">
        <w:t xml:space="preserve">and </w:t>
      </w:r>
      <w:r w:rsidR="001A21B8" w:rsidRPr="619F47D8">
        <w:t xml:space="preserve">engage with prisoners in order to manage expectations in the lead up to the September deadline. </w:t>
      </w:r>
    </w:p>
    <w:p w14:paraId="5E2EC180" w14:textId="77777777" w:rsidR="000D29D7" w:rsidRDefault="0073450B" w:rsidP="0073450B">
      <w:pPr>
        <w:spacing w:line="240" w:lineRule="auto"/>
        <w:rPr>
          <w:rFonts w:cstheme="minorHAnsi"/>
        </w:rPr>
      </w:pPr>
      <w:r w:rsidRPr="00792072">
        <w:rPr>
          <w:rFonts w:cstheme="minorHAnsi"/>
        </w:rPr>
        <w:t>There will be some differences across the YCS and Women’s Estate, which have been called out in the table below</w:t>
      </w:r>
      <w:r w:rsidR="0054517D">
        <w:rPr>
          <w:rFonts w:cstheme="minorHAnsi"/>
        </w:rPr>
        <w:t>. Dedicated messaging will be sent out to clarify the details of these differences.</w:t>
      </w:r>
      <w:r w:rsidR="00BF1AA7">
        <w:rPr>
          <w:rFonts w:cstheme="minorHAnsi"/>
        </w:rPr>
        <w:t xml:space="preserve"> </w:t>
      </w:r>
    </w:p>
    <w:p w14:paraId="2A7AE622" w14:textId="02DFC443" w:rsidR="00A232B4" w:rsidRDefault="002A0F27">
      <w:pPr>
        <w:rPr>
          <w:b/>
          <w:bCs/>
          <w:u w:val="single"/>
        </w:rPr>
        <w:sectPr w:rsidR="00A232B4" w:rsidSect="00BF1AA7">
          <w:pgSz w:w="11906" w:h="16838" w:code="9"/>
          <w:pgMar w:top="1440" w:right="1440" w:bottom="1134" w:left="1440" w:header="709" w:footer="709" w:gutter="0"/>
          <w:cols w:space="708"/>
          <w:docGrid w:linePitch="360"/>
        </w:sectPr>
      </w:pPr>
      <w:r w:rsidRPr="00792072">
        <w:rPr>
          <w:rFonts w:cstheme="minorHAnsi"/>
        </w:rPr>
        <w:t xml:space="preserve">Should you have any queries or concerns about this approach please contact </w:t>
      </w:r>
      <w:hyperlink r:id="rId11" w:history="1">
        <w:r w:rsidRPr="0062139E">
          <w:rPr>
            <w:rStyle w:val="Hyperlink"/>
            <w:rFonts w:cstheme="minorHAnsi"/>
          </w:rPr>
          <w:t>COVID19.RegimesOpsGuidance1@justice.gov.uk</w:t>
        </w:r>
      </w:hyperlink>
      <w:r>
        <w:rPr>
          <w:rFonts w:cstheme="minorHAnsi"/>
        </w:rPr>
        <w:t xml:space="preserve"> </w:t>
      </w:r>
    </w:p>
    <w:p w14:paraId="44934F46" w14:textId="79FC50F9" w:rsidR="00A232B4" w:rsidRPr="00A232B4" w:rsidRDefault="00CD64B8">
      <w:pPr>
        <w:rPr>
          <w:b/>
          <w:bCs/>
          <w:sz w:val="28"/>
          <w:szCs w:val="28"/>
          <w:u w:val="single"/>
        </w:rPr>
      </w:pPr>
      <w:r>
        <w:rPr>
          <w:b/>
          <w:bCs/>
          <w:sz w:val="28"/>
          <w:szCs w:val="28"/>
          <w:u w:val="single"/>
        </w:rPr>
        <w:lastRenderedPageBreak/>
        <w:t xml:space="preserve">Annex A </w:t>
      </w:r>
      <w:r w:rsidR="00A232B4" w:rsidRPr="00A232B4">
        <w:rPr>
          <w:b/>
          <w:bCs/>
          <w:sz w:val="28"/>
          <w:szCs w:val="28"/>
          <w:u w:val="single"/>
        </w:rPr>
        <w:t>Regime Mitigations Info</w:t>
      </w:r>
      <w:r w:rsidR="00A232B4">
        <w:rPr>
          <w:b/>
          <w:bCs/>
          <w:sz w:val="28"/>
          <w:szCs w:val="28"/>
          <w:u w:val="single"/>
        </w:rPr>
        <w:t>rmation</w:t>
      </w:r>
      <w:r w:rsidR="00A232B4" w:rsidRPr="00A232B4">
        <w:rPr>
          <w:b/>
          <w:bCs/>
          <w:sz w:val="28"/>
          <w:szCs w:val="28"/>
          <w:u w:val="single"/>
        </w:rPr>
        <w:t xml:space="preserve"> Table </w:t>
      </w:r>
    </w:p>
    <w:tbl>
      <w:tblPr>
        <w:tblStyle w:val="TableGrid"/>
        <w:tblpPr w:leftFromText="180" w:rightFromText="180" w:vertAnchor="page" w:horzAnchor="page" w:tblpX="472" w:tblpY="2567"/>
        <w:tblW w:w="15871" w:type="dxa"/>
        <w:tblLook w:val="04A0" w:firstRow="1" w:lastRow="0" w:firstColumn="1" w:lastColumn="0" w:noHBand="0" w:noVBand="1"/>
      </w:tblPr>
      <w:tblGrid>
        <w:gridCol w:w="1663"/>
        <w:gridCol w:w="1902"/>
        <w:gridCol w:w="4033"/>
        <w:gridCol w:w="3681"/>
        <w:gridCol w:w="4592"/>
      </w:tblGrid>
      <w:tr w:rsidR="00A232B4" w:rsidRPr="00430472" w14:paraId="117FA033" w14:textId="77777777" w:rsidTr="00604A3C">
        <w:trPr>
          <w:trHeight w:val="416"/>
        </w:trPr>
        <w:tc>
          <w:tcPr>
            <w:tcW w:w="1663" w:type="dxa"/>
          </w:tcPr>
          <w:p w14:paraId="7BB2C91A" w14:textId="3238AE21" w:rsidR="00A232B4" w:rsidRPr="0037775B" w:rsidRDefault="00A232B4" w:rsidP="00604A3C">
            <w:pPr>
              <w:rPr>
                <w:rFonts w:cstheme="minorHAnsi"/>
                <w:b/>
                <w:bCs/>
                <w:sz w:val="20"/>
                <w:szCs w:val="20"/>
              </w:rPr>
            </w:pPr>
            <w:r w:rsidRPr="0037775B">
              <w:rPr>
                <w:rFonts w:cstheme="minorHAnsi"/>
                <w:b/>
                <w:bCs/>
                <w:sz w:val="20"/>
                <w:szCs w:val="20"/>
              </w:rPr>
              <w:t>Mitigation</w:t>
            </w:r>
          </w:p>
        </w:tc>
        <w:tc>
          <w:tcPr>
            <w:tcW w:w="1902" w:type="dxa"/>
          </w:tcPr>
          <w:p w14:paraId="14D9DAC4" w14:textId="77777777" w:rsidR="00A232B4" w:rsidRPr="0037775B" w:rsidRDefault="00A232B4" w:rsidP="00604A3C">
            <w:pPr>
              <w:rPr>
                <w:rFonts w:cstheme="minorHAnsi"/>
                <w:b/>
                <w:bCs/>
                <w:sz w:val="20"/>
                <w:szCs w:val="20"/>
              </w:rPr>
            </w:pPr>
            <w:r w:rsidRPr="0037775B">
              <w:rPr>
                <w:rFonts w:cstheme="minorHAnsi"/>
                <w:b/>
                <w:bCs/>
                <w:sz w:val="20"/>
                <w:szCs w:val="20"/>
              </w:rPr>
              <w:t>Timing for removal</w:t>
            </w:r>
          </w:p>
        </w:tc>
        <w:tc>
          <w:tcPr>
            <w:tcW w:w="4033" w:type="dxa"/>
          </w:tcPr>
          <w:p w14:paraId="04AA4F79" w14:textId="77777777" w:rsidR="00A232B4" w:rsidRPr="0037775B" w:rsidRDefault="00A232B4" w:rsidP="00604A3C">
            <w:pPr>
              <w:rPr>
                <w:rFonts w:cstheme="minorHAnsi"/>
                <w:b/>
                <w:bCs/>
                <w:sz w:val="20"/>
                <w:szCs w:val="20"/>
              </w:rPr>
            </w:pPr>
            <w:r w:rsidRPr="0037775B">
              <w:rPr>
                <w:rFonts w:cstheme="minorHAnsi"/>
                <w:b/>
                <w:bCs/>
                <w:sz w:val="20"/>
                <w:szCs w:val="20"/>
              </w:rPr>
              <w:t>Process for removal</w:t>
            </w:r>
          </w:p>
        </w:tc>
        <w:tc>
          <w:tcPr>
            <w:tcW w:w="3681" w:type="dxa"/>
          </w:tcPr>
          <w:p w14:paraId="14B78643" w14:textId="77777777" w:rsidR="00A232B4" w:rsidRPr="0037775B" w:rsidRDefault="00A232B4" w:rsidP="00604A3C">
            <w:pPr>
              <w:rPr>
                <w:rFonts w:cstheme="minorHAnsi"/>
                <w:b/>
                <w:bCs/>
                <w:sz w:val="20"/>
                <w:szCs w:val="20"/>
              </w:rPr>
            </w:pPr>
            <w:r w:rsidRPr="0037775B">
              <w:rPr>
                <w:rFonts w:cstheme="minorHAnsi"/>
                <w:b/>
                <w:bCs/>
                <w:sz w:val="20"/>
                <w:szCs w:val="20"/>
              </w:rPr>
              <w:t>Process for extension or reintroduction</w:t>
            </w:r>
          </w:p>
        </w:tc>
        <w:tc>
          <w:tcPr>
            <w:tcW w:w="4592" w:type="dxa"/>
          </w:tcPr>
          <w:p w14:paraId="5FA67FBF" w14:textId="77777777" w:rsidR="00A232B4" w:rsidRPr="0037775B" w:rsidRDefault="00A232B4" w:rsidP="00604A3C">
            <w:pPr>
              <w:rPr>
                <w:rFonts w:cstheme="minorHAnsi"/>
                <w:b/>
                <w:bCs/>
                <w:sz w:val="20"/>
                <w:szCs w:val="20"/>
              </w:rPr>
            </w:pPr>
            <w:r w:rsidRPr="0037775B">
              <w:rPr>
                <w:rFonts w:cstheme="minorHAnsi"/>
                <w:b/>
                <w:bCs/>
                <w:sz w:val="20"/>
                <w:szCs w:val="20"/>
              </w:rPr>
              <w:t xml:space="preserve">Contact </w:t>
            </w:r>
          </w:p>
        </w:tc>
      </w:tr>
      <w:tr w:rsidR="00A232B4" w:rsidRPr="00430472" w14:paraId="1BDCB117" w14:textId="77777777" w:rsidTr="00604A3C">
        <w:trPr>
          <w:trHeight w:val="844"/>
        </w:trPr>
        <w:tc>
          <w:tcPr>
            <w:tcW w:w="1663" w:type="dxa"/>
          </w:tcPr>
          <w:p w14:paraId="683187E3" w14:textId="77777777" w:rsidR="00A232B4" w:rsidRPr="00A66431" w:rsidRDefault="00A232B4" w:rsidP="00604A3C">
            <w:pPr>
              <w:rPr>
                <w:rFonts w:cstheme="minorHAnsi"/>
                <w:sz w:val="20"/>
                <w:szCs w:val="20"/>
              </w:rPr>
            </w:pPr>
            <w:r w:rsidRPr="00A66431">
              <w:rPr>
                <w:rFonts w:cstheme="minorHAnsi"/>
                <w:sz w:val="20"/>
                <w:szCs w:val="20"/>
              </w:rPr>
              <w:t>Access to iPads</w:t>
            </w:r>
          </w:p>
        </w:tc>
        <w:tc>
          <w:tcPr>
            <w:tcW w:w="1902" w:type="dxa"/>
          </w:tcPr>
          <w:p w14:paraId="4F36F49E" w14:textId="42476F77" w:rsidR="00A232B4" w:rsidRPr="00A66431" w:rsidRDefault="00A232B4" w:rsidP="00604A3C">
            <w:pPr>
              <w:rPr>
                <w:rFonts w:cstheme="minorHAnsi"/>
                <w:sz w:val="20"/>
                <w:szCs w:val="20"/>
              </w:rPr>
            </w:pPr>
            <w:r w:rsidRPr="00A66431">
              <w:rPr>
                <w:rFonts w:cstheme="minorHAnsi"/>
                <w:sz w:val="20"/>
                <w:szCs w:val="20"/>
              </w:rPr>
              <w:t xml:space="preserve">To be retained </w:t>
            </w:r>
          </w:p>
        </w:tc>
        <w:tc>
          <w:tcPr>
            <w:tcW w:w="4033" w:type="dxa"/>
            <w:shd w:val="clear" w:color="auto" w:fill="E7E6E6" w:themeFill="background2"/>
            <w:vAlign w:val="center"/>
          </w:tcPr>
          <w:p w14:paraId="0A53337C" w14:textId="77777777" w:rsidR="00A232B4" w:rsidRPr="00A66431" w:rsidRDefault="00A232B4" w:rsidP="00604A3C">
            <w:pPr>
              <w:pStyle w:val="ListParagraph"/>
              <w:ind w:left="0"/>
              <w:jc w:val="center"/>
              <w:rPr>
                <w:rFonts w:cstheme="minorHAnsi"/>
                <w:sz w:val="20"/>
                <w:szCs w:val="20"/>
              </w:rPr>
            </w:pPr>
            <w:r w:rsidRPr="00A66431">
              <w:rPr>
                <w:rFonts w:cstheme="minorHAnsi"/>
                <w:sz w:val="20"/>
                <w:szCs w:val="20"/>
              </w:rPr>
              <w:t>N/A</w:t>
            </w:r>
          </w:p>
        </w:tc>
        <w:tc>
          <w:tcPr>
            <w:tcW w:w="3681" w:type="dxa"/>
            <w:shd w:val="clear" w:color="auto" w:fill="E7E6E6" w:themeFill="background2"/>
            <w:vAlign w:val="center"/>
          </w:tcPr>
          <w:p w14:paraId="34EAC69B" w14:textId="77777777" w:rsidR="00A232B4" w:rsidRPr="00A66431" w:rsidRDefault="00A232B4" w:rsidP="00604A3C">
            <w:pPr>
              <w:pStyle w:val="ListParagraph"/>
              <w:ind w:left="0"/>
              <w:jc w:val="center"/>
              <w:rPr>
                <w:rFonts w:cstheme="minorHAnsi"/>
                <w:sz w:val="20"/>
                <w:szCs w:val="20"/>
              </w:rPr>
            </w:pPr>
            <w:r w:rsidRPr="00A66431">
              <w:rPr>
                <w:rFonts w:cstheme="minorHAnsi"/>
                <w:sz w:val="20"/>
                <w:szCs w:val="20"/>
              </w:rPr>
              <w:t>N/A</w:t>
            </w:r>
          </w:p>
        </w:tc>
        <w:tc>
          <w:tcPr>
            <w:tcW w:w="4592" w:type="dxa"/>
          </w:tcPr>
          <w:p w14:paraId="2DD208BE" w14:textId="32A868C2" w:rsidR="00A232B4" w:rsidRPr="00A66431" w:rsidRDefault="00A232B4" w:rsidP="00604A3C">
            <w:pPr>
              <w:rPr>
                <w:rFonts w:cstheme="minorHAnsi"/>
                <w:sz w:val="20"/>
                <w:szCs w:val="20"/>
              </w:rPr>
            </w:pPr>
            <w:r w:rsidRPr="00A66431">
              <w:rPr>
                <w:rFonts w:cstheme="minorHAnsi"/>
                <w:sz w:val="20"/>
                <w:szCs w:val="20"/>
              </w:rPr>
              <w:t>Long term an owner for the continued use of iPads needs to be found and will be confirmed in due course.</w:t>
            </w:r>
            <w:r w:rsidR="00714D1E" w:rsidRPr="00A66431">
              <w:rPr>
                <w:rFonts w:cstheme="minorHAnsi"/>
                <w:sz w:val="20"/>
                <w:szCs w:val="20"/>
              </w:rPr>
              <w:t xml:space="preserve">  Any queries in the meantime can be directed to </w:t>
            </w:r>
            <w:hyperlink r:id="rId12" w:history="1">
              <w:r w:rsidR="00802AA7" w:rsidRPr="00A66431">
                <w:rPr>
                  <w:rStyle w:val="Hyperlink"/>
                  <w:rFonts w:cstheme="minorHAnsi"/>
                  <w:sz w:val="20"/>
                  <w:szCs w:val="20"/>
                </w:rPr>
                <w:t>COVID19.RegimesOpsGuidance1@justice.gov.uk</w:t>
              </w:r>
            </w:hyperlink>
          </w:p>
          <w:p w14:paraId="6DA63218" w14:textId="77777777" w:rsidR="00A232B4" w:rsidRPr="00A66431" w:rsidRDefault="00A232B4" w:rsidP="00604A3C">
            <w:pPr>
              <w:pStyle w:val="ListParagraph"/>
              <w:ind w:left="0"/>
              <w:rPr>
                <w:rFonts w:cstheme="minorHAnsi"/>
                <w:sz w:val="20"/>
                <w:szCs w:val="20"/>
              </w:rPr>
            </w:pPr>
          </w:p>
        </w:tc>
      </w:tr>
      <w:tr w:rsidR="00A232B4" w:rsidRPr="00430472" w14:paraId="727F2F40" w14:textId="77777777" w:rsidTr="00604A3C">
        <w:trPr>
          <w:trHeight w:val="844"/>
        </w:trPr>
        <w:tc>
          <w:tcPr>
            <w:tcW w:w="1663" w:type="dxa"/>
          </w:tcPr>
          <w:p w14:paraId="7C828842" w14:textId="77777777" w:rsidR="00A232B4" w:rsidRPr="00A66431" w:rsidRDefault="00A232B4" w:rsidP="00604A3C">
            <w:pPr>
              <w:rPr>
                <w:rFonts w:cstheme="minorHAnsi"/>
                <w:sz w:val="20"/>
                <w:szCs w:val="20"/>
              </w:rPr>
            </w:pPr>
            <w:r w:rsidRPr="00A66431">
              <w:rPr>
                <w:rFonts w:cstheme="minorHAnsi"/>
                <w:sz w:val="20"/>
                <w:szCs w:val="20"/>
              </w:rPr>
              <w:t xml:space="preserve">Secure Video Calls </w:t>
            </w:r>
          </w:p>
        </w:tc>
        <w:tc>
          <w:tcPr>
            <w:tcW w:w="1902" w:type="dxa"/>
          </w:tcPr>
          <w:p w14:paraId="36B24210" w14:textId="77777777" w:rsidR="00A232B4" w:rsidRPr="00A66431" w:rsidRDefault="00A232B4" w:rsidP="00604A3C">
            <w:pPr>
              <w:rPr>
                <w:rFonts w:cstheme="minorHAnsi"/>
                <w:sz w:val="20"/>
                <w:szCs w:val="20"/>
              </w:rPr>
            </w:pPr>
            <w:r w:rsidRPr="00A66431">
              <w:rPr>
                <w:rFonts w:cstheme="minorHAnsi"/>
                <w:sz w:val="20"/>
                <w:szCs w:val="20"/>
              </w:rPr>
              <w:t>To be retained</w:t>
            </w:r>
          </w:p>
        </w:tc>
        <w:tc>
          <w:tcPr>
            <w:tcW w:w="4033" w:type="dxa"/>
            <w:shd w:val="clear" w:color="auto" w:fill="E7E6E6" w:themeFill="background2"/>
            <w:vAlign w:val="center"/>
          </w:tcPr>
          <w:p w14:paraId="6F9D43D7" w14:textId="77777777" w:rsidR="00A232B4" w:rsidRPr="00A66431" w:rsidRDefault="00A232B4" w:rsidP="00604A3C">
            <w:pPr>
              <w:pStyle w:val="ListParagraph"/>
              <w:ind w:left="0"/>
              <w:jc w:val="center"/>
              <w:rPr>
                <w:rFonts w:cstheme="minorHAnsi"/>
                <w:sz w:val="20"/>
                <w:szCs w:val="20"/>
              </w:rPr>
            </w:pPr>
            <w:r w:rsidRPr="00A66431">
              <w:rPr>
                <w:rFonts w:cstheme="minorHAnsi"/>
                <w:sz w:val="20"/>
                <w:szCs w:val="20"/>
                <w:lang w:val="en-GB"/>
              </w:rPr>
              <w:t>N/A</w:t>
            </w:r>
          </w:p>
        </w:tc>
        <w:tc>
          <w:tcPr>
            <w:tcW w:w="3681" w:type="dxa"/>
            <w:shd w:val="clear" w:color="auto" w:fill="E7E6E6" w:themeFill="background2"/>
            <w:vAlign w:val="center"/>
          </w:tcPr>
          <w:p w14:paraId="7F407BBF" w14:textId="77777777" w:rsidR="00A232B4" w:rsidRPr="00A66431" w:rsidRDefault="00A232B4" w:rsidP="00604A3C">
            <w:pPr>
              <w:pStyle w:val="ListParagraph"/>
              <w:ind w:left="0"/>
              <w:jc w:val="center"/>
              <w:rPr>
                <w:rFonts w:cstheme="minorHAnsi"/>
                <w:sz w:val="20"/>
                <w:szCs w:val="20"/>
              </w:rPr>
            </w:pPr>
            <w:r w:rsidRPr="00A66431">
              <w:rPr>
                <w:rFonts w:cstheme="minorHAnsi"/>
                <w:sz w:val="20"/>
                <w:szCs w:val="20"/>
              </w:rPr>
              <w:t>N/A</w:t>
            </w:r>
          </w:p>
        </w:tc>
        <w:tc>
          <w:tcPr>
            <w:tcW w:w="4592" w:type="dxa"/>
          </w:tcPr>
          <w:p w14:paraId="67D85D46" w14:textId="77777777" w:rsidR="00A232B4" w:rsidRPr="00A66431" w:rsidRDefault="0040321A" w:rsidP="00604A3C">
            <w:pPr>
              <w:pStyle w:val="ListParagraph"/>
              <w:ind w:left="0"/>
              <w:rPr>
                <w:rFonts w:cstheme="minorHAnsi"/>
                <w:b/>
                <w:bCs/>
                <w:sz w:val="20"/>
                <w:szCs w:val="20"/>
                <w:u w:val="single"/>
              </w:rPr>
            </w:pPr>
            <w:hyperlink r:id="rId13" w:history="1">
              <w:r w:rsidR="00A232B4" w:rsidRPr="00A66431">
                <w:rPr>
                  <w:rStyle w:val="Hyperlink"/>
                  <w:rFonts w:cstheme="minorHAnsi"/>
                  <w:sz w:val="20"/>
                  <w:szCs w:val="20"/>
                </w:rPr>
                <w:t>videocalls@digital.justice.gov.uk</w:t>
              </w:r>
            </w:hyperlink>
          </w:p>
        </w:tc>
      </w:tr>
      <w:tr w:rsidR="00A232B4" w:rsidRPr="00430472" w14:paraId="1EE8274C" w14:textId="77777777" w:rsidTr="00604A3C">
        <w:trPr>
          <w:trHeight w:val="844"/>
        </w:trPr>
        <w:tc>
          <w:tcPr>
            <w:tcW w:w="1663" w:type="dxa"/>
          </w:tcPr>
          <w:p w14:paraId="1444AEE0" w14:textId="77777777" w:rsidR="00A232B4" w:rsidRPr="00A66431" w:rsidRDefault="00A232B4" w:rsidP="00604A3C">
            <w:pPr>
              <w:rPr>
                <w:rFonts w:cstheme="minorHAnsi"/>
                <w:sz w:val="20"/>
                <w:szCs w:val="20"/>
              </w:rPr>
            </w:pPr>
            <w:r w:rsidRPr="00A66431">
              <w:rPr>
                <w:rFonts w:cstheme="minorHAnsi"/>
                <w:sz w:val="20"/>
                <w:szCs w:val="20"/>
              </w:rPr>
              <w:t>Supplementary food packs</w:t>
            </w:r>
          </w:p>
          <w:p w14:paraId="29F58E55" w14:textId="77777777" w:rsidR="00A232B4" w:rsidRPr="00A66431" w:rsidRDefault="00A232B4" w:rsidP="00604A3C">
            <w:pPr>
              <w:rPr>
                <w:rFonts w:cstheme="minorHAnsi"/>
                <w:b/>
                <w:bCs/>
                <w:sz w:val="20"/>
                <w:szCs w:val="20"/>
              </w:rPr>
            </w:pPr>
          </w:p>
        </w:tc>
        <w:tc>
          <w:tcPr>
            <w:tcW w:w="1902" w:type="dxa"/>
          </w:tcPr>
          <w:p w14:paraId="4C622D3E" w14:textId="77777777" w:rsidR="00A232B4" w:rsidRPr="00A66431" w:rsidRDefault="00A232B4" w:rsidP="00604A3C">
            <w:pPr>
              <w:rPr>
                <w:rFonts w:cstheme="minorHAnsi"/>
                <w:sz w:val="20"/>
                <w:szCs w:val="20"/>
              </w:rPr>
            </w:pPr>
            <w:r w:rsidRPr="00A66431">
              <w:rPr>
                <w:rFonts w:cstheme="minorHAnsi"/>
                <w:sz w:val="20"/>
                <w:szCs w:val="20"/>
              </w:rPr>
              <w:t>Switch off by end of September</w:t>
            </w:r>
          </w:p>
        </w:tc>
        <w:tc>
          <w:tcPr>
            <w:tcW w:w="4033" w:type="dxa"/>
          </w:tcPr>
          <w:p w14:paraId="6D6E7F9C" w14:textId="77777777" w:rsidR="00A232B4" w:rsidRPr="00A66431" w:rsidRDefault="00A232B4" w:rsidP="00604A3C">
            <w:pPr>
              <w:pStyle w:val="ListParagraph"/>
              <w:numPr>
                <w:ilvl w:val="0"/>
                <w:numId w:val="2"/>
              </w:numPr>
              <w:rPr>
                <w:rFonts w:cstheme="minorHAnsi"/>
                <w:sz w:val="20"/>
                <w:szCs w:val="20"/>
              </w:rPr>
            </w:pPr>
            <w:r w:rsidRPr="00A66431">
              <w:rPr>
                <w:rFonts w:cstheme="minorHAnsi"/>
                <w:sz w:val="20"/>
                <w:szCs w:val="20"/>
              </w:rPr>
              <w:t>Bidfood will automatically switch off packs at the end of September, with final orders arriving 1</w:t>
            </w:r>
            <w:r w:rsidRPr="00A66431">
              <w:rPr>
                <w:rFonts w:cstheme="minorHAnsi"/>
                <w:sz w:val="20"/>
                <w:szCs w:val="20"/>
                <w:vertAlign w:val="superscript"/>
              </w:rPr>
              <w:t>st</w:t>
            </w:r>
            <w:r w:rsidRPr="00A66431">
              <w:rPr>
                <w:rFonts w:cstheme="minorHAnsi"/>
                <w:sz w:val="20"/>
                <w:szCs w:val="20"/>
              </w:rPr>
              <w:t xml:space="preserve"> October.</w:t>
            </w:r>
          </w:p>
          <w:p w14:paraId="43226694" w14:textId="77777777" w:rsidR="00A232B4" w:rsidRPr="00A66431" w:rsidRDefault="00A232B4" w:rsidP="00A232B4">
            <w:pPr>
              <w:pStyle w:val="ListParagraph"/>
              <w:numPr>
                <w:ilvl w:val="0"/>
                <w:numId w:val="2"/>
              </w:numPr>
              <w:rPr>
                <w:rFonts w:cstheme="minorHAnsi"/>
                <w:sz w:val="20"/>
                <w:szCs w:val="20"/>
              </w:rPr>
            </w:pPr>
            <w:r w:rsidRPr="00A66431">
              <w:rPr>
                <w:rFonts w:cstheme="minorHAnsi"/>
                <w:sz w:val="20"/>
                <w:szCs w:val="20"/>
              </w:rPr>
              <w:t>Bidfood has already been notified of this change.</w:t>
            </w:r>
          </w:p>
        </w:tc>
        <w:tc>
          <w:tcPr>
            <w:tcW w:w="3681" w:type="dxa"/>
          </w:tcPr>
          <w:p w14:paraId="19C60C9E" w14:textId="789A28B5" w:rsidR="00A232B4" w:rsidRPr="00A66431" w:rsidRDefault="00A232B4" w:rsidP="00604A3C">
            <w:pPr>
              <w:pStyle w:val="ListParagraph"/>
              <w:numPr>
                <w:ilvl w:val="0"/>
                <w:numId w:val="2"/>
              </w:numPr>
              <w:rPr>
                <w:rFonts w:cstheme="minorHAnsi"/>
                <w:sz w:val="20"/>
                <w:szCs w:val="20"/>
              </w:rPr>
            </w:pPr>
            <w:r w:rsidRPr="00A66431">
              <w:rPr>
                <w:rFonts w:cstheme="minorHAnsi"/>
                <w:b/>
                <w:bCs/>
                <w:sz w:val="20"/>
                <w:szCs w:val="20"/>
                <w:u w:val="single"/>
              </w:rPr>
              <w:t>This w</w:t>
            </w:r>
            <w:r w:rsidR="009B0602" w:rsidRPr="00A66431">
              <w:rPr>
                <w:rFonts w:cstheme="minorHAnsi"/>
                <w:b/>
                <w:bCs/>
                <w:sz w:val="20"/>
                <w:szCs w:val="20"/>
                <w:u w:val="single"/>
              </w:rPr>
              <w:t>ill</w:t>
            </w:r>
            <w:r w:rsidRPr="00A66431">
              <w:rPr>
                <w:rFonts w:cstheme="minorHAnsi"/>
                <w:b/>
                <w:bCs/>
                <w:sz w:val="20"/>
                <w:szCs w:val="20"/>
                <w:u w:val="single"/>
              </w:rPr>
              <w:t xml:space="preserve"> not</w:t>
            </w:r>
            <w:r w:rsidRPr="00A66431">
              <w:rPr>
                <w:rFonts w:cstheme="minorHAnsi"/>
                <w:b/>
                <w:bCs/>
                <w:sz w:val="20"/>
                <w:szCs w:val="20"/>
              </w:rPr>
              <w:t xml:space="preserve"> </w:t>
            </w:r>
            <w:r w:rsidRPr="00A66431">
              <w:rPr>
                <w:rFonts w:cstheme="minorHAnsi"/>
                <w:sz w:val="20"/>
                <w:szCs w:val="20"/>
              </w:rPr>
              <w:t>be reintroduced.</w:t>
            </w:r>
          </w:p>
        </w:tc>
        <w:tc>
          <w:tcPr>
            <w:tcW w:w="4592" w:type="dxa"/>
          </w:tcPr>
          <w:p w14:paraId="5DDEBC7F" w14:textId="77777777" w:rsidR="00A232B4" w:rsidRPr="00A66431" w:rsidRDefault="00A232B4" w:rsidP="00604A3C">
            <w:pPr>
              <w:rPr>
                <w:rFonts w:eastAsia="Calibri" w:cstheme="minorHAnsi"/>
                <w:sz w:val="20"/>
                <w:szCs w:val="20"/>
              </w:rPr>
            </w:pPr>
            <w:r w:rsidRPr="00A66431">
              <w:rPr>
                <w:rFonts w:eastAsia="Calibri" w:cstheme="minorHAnsi"/>
                <w:sz w:val="20"/>
                <w:szCs w:val="20"/>
              </w:rPr>
              <w:t xml:space="preserve">Governors and Catering Managers can contact Al Crisci RCM Technical </w:t>
            </w:r>
          </w:p>
          <w:p w14:paraId="44F24FB2" w14:textId="77777777" w:rsidR="00A232B4" w:rsidRPr="00A66431" w:rsidRDefault="0040321A" w:rsidP="00A232B4">
            <w:pPr>
              <w:pStyle w:val="ListParagraph"/>
              <w:ind w:left="0"/>
              <w:rPr>
                <w:rFonts w:cstheme="minorHAnsi"/>
                <w:b/>
                <w:bCs/>
                <w:sz w:val="20"/>
                <w:szCs w:val="20"/>
                <w:u w:val="single"/>
              </w:rPr>
            </w:pPr>
            <w:hyperlink r:id="rId14" w:history="1">
              <w:r w:rsidR="00A232B4" w:rsidRPr="00A66431">
                <w:rPr>
                  <w:rStyle w:val="Hyperlink"/>
                  <w:rFonts w:eastAsia="Calibri" w:cstheme="minorHAnsi"/>
                  <w:sz w:val="20"/>
                  <w:szCs w:val="20"/>
                </w:rPr>
                <w:t>al.crisci@justice.gov.uk</w:t>
              </w:r>
            </w:hyperlink>
          </w:p>
        </w:tc>
      </w:tr>
      <w:tr w:rsidR="00A232B4" w:rsidRPr="00430472" w14:paraId="704EE923" w14:textId="77777777" w:rsidTr="00604A3C">
        <w:trPr>
          <w:trHeight w:val="688"/>
        </w:trPr>
        <w:tc>
          <w:tcPr>
            <w:tcW w:w="1663" w:type="dxa"/>
          </w:tcPr>
          <w:p w14:paraId="4B385AF6" w14:textId="77777777" w:rsidR="00A232B4" w:rsidRPr="00A66431" w:rsidRDefault="00A232B4" w:rsidP="00604A3C">
            <w:pPr>
              <w:rPr>
                <w:rFonts w:cstheme="minorHAnsi"/>
                <w:sz w:val="20"/>
                <w:szCs w:val="20"/>
              </w:rPr>
            </w:pPr>
            <w:r w:rsidRPr="00A66431">
              <w:rPr>
                <w:rFonts w:cstheme="minorHAnsi"/>
                <w:sz w:val="20"/>
                <w:szCs w:val="20"/>
              </w:rPr>
              <w:t>Limiting Use of Basic</w:t>
            </w:r>
          </w:p>
        </w:tc>
        <w:tc>
          <w:tcPr>
            <w:tcW w:w="1902" w:type="dxa"/>
          </w:tcPr>
          <w:p w14:paraId="4C066CBA" w14:textId="77777777" w:rsidR="00A232B4" w:rsidRPr="00A66431" w:rsidRDefault="00A232B4" w:rsidP="00604A3C">
            <w:pPr>
              <w:rPr>
                <w:rFonts w:cstheme="minorHAnsi"/>
                <w:sz w:val="20"/>
                <w:szCs w:val="20"/>
              </w:rPr>
            </w:pPr>
            <w:r w:rsidRPr="00A66431">
              <w:rPr>
                <w:rFonts w:cstheme="minorHAnsi"/>
                <w:sz w:val="20"/>
                <w:szCs w:val="20"/>
              </w:rPr>
              <w:t>Move to governor discretion post end of September</w:t>
            </w:r>
          </w:p>
        </w:tc>
        <w:tc>
          <w:tcPr>
            <w:tcW w:w="4033" w:type="dxa"/>
          </w:tcPr>
          <w:p w14:paraId="2D8601D9" w14:textId="77777777" w:rsidR="00A232B4" w:rsidRPr="00A66431" w:rsidRDefault="00A232B4" w:rsidP="00604A3C">
            <w:pPr>
              <w:pStyle w:val="ListParagraph"/>
              <w:numPr>
                <w:ilvl w:val="0"/>
                <w:numId w:val="5"/>
              </w:numPr>
              <w:rPr>
                <w:rFonts w:cstheme="minorHAnsi"/>
                <w:sz w:val="20"/>
                <w:szCs w:val="20"/>
              </w:rPr>
            </w:pPr>
            <w:r w:rsidRPr="00A66431">
              <w:rPr>
                <w:rFonts w:cstheme="minorHAnsi"/>
                <w:sz w:val="20"/>
                <w:szCs w:val="20"/>
              </w:rPr>
              <w:t>Will not mandate the return to Basic but allow Governor discretion on when it is appropriate to reintroduce according to local circumstances, with an expectation that as regimes open up Governors should consider reintroducing the use of Basic.</w:t>
            </w:r>
          </w:p>
          <w:p w14:paraId="0901B95A" w14:textId="77777777" w:rsidR="00A232B4" w:rsidRPr="00A66431" w:rsidRDefault="00A232B4" w:rsidP="00604A3C">
            <w:pPr>
              <w:pStyle w:val="ListParagraph"/>
              <w:numPr>
                <w:ilvl w:val="0"/>
                <w:numId w:val="5"/>
              </w:numPr>
              <w:rPr>
                <w:rFonts w:cstheme="minorHAnsi"/>
                <w:sz w:val="20"/>
                <w:szCs w:val="20"/>
              </w:rPr>
            </w:pPr>
            <w:r w:rsidRPr="00A66431">
              <w:rPr>
                <w:rFonts w:cstheme="minorHAnsi"/>
                <w:sz w:val="20"/>
                <w:szCs w:val="20"/>
              </w:rPr>
              <w:t xml:space="preserve">Will require clear communications to prisoners which will form part of our comms plan. </w:t>
            </w:r>
          </w:p>
        </w:tc>
        <w:tc>
          <w:tcPr>
            <w:tcW w:w="3681" w:type="dxa"/>
          </w:tcPr>
          <w:p w14:paraId="22306B2B" w14:textId="00395598" w:rsidR="00A232B4" w:rsidRPr="00A66431" w:rsidRDefault="00A232B4" w:rsidP="00604A3C">
            <w:pPr>
              <w:pStyle w:val="ListParagraph"/>
              <w:numPr>
                <w:ilvl w:val="0"/>
                <w:numId w:val="5"/>
              </w:numPr>
              <w:rPr>
                <w:rFonts w:cstheme="minorHAnsi"/>
                <w:sz w:val="20"/>
                <w:szCs w:val="20"/>
              </w:rPr>
            </w:pPr>
            <w:r w:rsidRPr="00A66431">
              <w:rPr>
                <w:rFonts w:cstheme="minorHAnsi"/>
                <w:sz w:val="20"/>
                <w:szCs w:val="20"/>
              </w:rPr>
              <w:t xml:space="preserve">Governors can use their discretion to </w:t>
            </w:r>
            <w:r w:rsidR="00A748B7" w:rsidRPr="00A66431">
              <w:rPr>
                <w:rFonts w:cstheme="minorHAnsi"/>
                <w:sz w:val="20"/>
                <w:szCs w:val="20"/>
              </w:rPr>
              <w:t>revert</w:t>
            </w:r>
            <w:r w:rsidRPr="00A66431">
              <w:rPr>
                <w:rFonts w:cstheme="minorHAnsi"/>
                <w:sz w:val="20"/>
                <w:szCs w:val="20"/>
              </w:rPr>
              <w:t xml:space="preserve"> to limiting the use of basic should circumstances require it (e.g. increased restrictions, outbreak declared) </w:t>
            </w:r>
          </w:p>
        </w:tc>
        <w:tc>
          <w:tcPr>
            <w:tcW w:w="4592" w:type="dxa"/>
          </w:tcPr>
          <w:p w14:paraId="368C1050" w14:textId="77777777" w:rsidR="00A232B4" w:rsidRPr="00A66431" w:rsidRDefault="0040321A" w:rsidP="00604A3C">
            <w:pPr>
              <w:rPr>
                <w:rFonts w:cstheme="minorHAnsi"/>
                <w:sz w:val="20"/>
                <w:szCs w:val="20"/>
              </w:rPr>
            </w:pPr>
            <w:hyperlink r:id="rId15" w:history="1">
              <w:r w:rsidR="00A232B4" w:rsidRPr="00A66431">
                <w:rPr>
                  <w:rStyle w:val="Hyperlink"/>
                  <w:rFonts w:cstheme="minorHAnsi"/>
                  <w:sz w:val="20"/>
                  <w:szCs w:val="20"/>
                </w:rPr>
                <w:t>Operational_policy1@justice.gov.uk</w:t>
              </w:r>
            </w:hyperlink>
          </w:p>
          <w:p w14:paraId="365A8FAD" w14:textId="77777777" w:rsidR="00A232B4" w:rsidRPr="00A66431" w:rsidRDefault="00A232B4" w:rsidP="00604A3C">
            <w:pPr>
              <w:rPr>
                <w:rFonts w:cstheme="minorHAnsi"/>
                <w:sz w:val="20"/>
                <w:szCs w:val="20"/>
              </w:rPr>
            </w:pPr>
          </w:p>
          <w:p w14:paraId="4B46A5AE" w14:textId="77777777" w:rsidR="00A232B4" w:rsidRPr="00A66431" w:rsidRDefault="0040321A" w:rsidP="00604A3C">
            <w:pPr>
              <w:pStyle w:val="ListParagraph"/>
              <w:ind w:left="0"/>
              <w:rPr>
                <w:rFonts w:cstheme="minorHAnsi"/>
                <w:sz w:val="20"/>
                <w:szCs w:val="20"/>
              </w:rPr>
            </w:pPr>
            <w:hyperlink r:id="rId16" w:history="1">
              <w:r w:rsidR="00A232B4" w:rsidRPr="00A66431">
                <w:rPr>
                  <w:rStyle w:val="Hyperlink"/>
                  <w:rFonts w:cstheme="minorHAnsi"/>
                  <w:sz w:val="20"/>
                  <w:szCs w:val="20"/>
                </w:rPr>
                <w:t>Incentives Policy Framework - GOV.UK (www.gov.uk)</w:t>
              </w:r>
            </w:hyperlink>
          </w:p>
        </w:tc>
      </w:tr>
      <w:tr w:rsidR="00A232B4" w:rsidRPr="00430472" w14:paraId="79A46BBA" w14:textId="77777777" w:rsidTr="00604A3C">
        <w:trPr>
          <w:trHeight w:val="688"/>
        </w:trPr>
        <w:tc>
          <w:tcPr>
            <w:tcW w:w="1663" w:type="dxa"/>
          </w:tcPr>
          <w:p w14:paraId="1E52D742" w14:textId="77777777" w:rsidR="00A232B4" w:rsidRPr="00A66431" w:rsidRDefault="00A232B4" w:rsidP="00604A3C">
            <w:pPr>
              <w:rPr>
                <w:rFonts w:cstheme="minorHAnsi"/>
                <w:sz w:val="20"/>
                <w:szCs w:val="20"/>
              </w:rPr>
            </w:pPr>
            <w:r w:rsidRPr="00A66431">
              <w:rPr>
                <w:rFonts w:cstheme="minorHAnsi"/>
                <w:sz w:val="20"/>
                <w:szCs w:val="20"/>
              </w:rPr>
              <w:t xml:space="preserve">Prisoner Pay (removal of payment) </w:t>
            </w:r>
          </w:p>
        </w:tc>
        <w:tc>
          <w:tcPr>
            <w:tcW w:w="1902" w:type="dxa"/>
          </w:tcPr>
          <w:p w14:paraId="6B18B60C" w14:textId="77777777" w:rsidR="00A232B4" w:rsidRPr="00A66431" w:rsidRDefault="00A232B4" w:rsidP="00604A3C">
            <w:pPr>
              <w:rPr>
                <w:rFonts w:cstheme="minorHAnsi"/>
                <w:sz w:val="20"/>
                <w:szCs w:val="20"/>
              </w:rPr>
            </w:pPr>
            <w:r w:rsidRPr="00A66431">
              <w:rPr>
                <w:rFonts w:cstheme="minorHAnsi"/>
                <w:sz w:val="20"/>
                <w:szCs w:val="20"/>
              </w:rPr>
              <w:t xml:space="preserve">Switch off by end of September </w:t>
            </w:r>
          </w:p>
        </w:tc>
        <w:tc>
          <w:tcPr>
            <w:tcW w:w="4033" w:type="dxa"/>
          </w:tcPr>
          <w:p w14:paraId="2E0CD79B" w14:textId="3E4BBF81" w:rsidR="00A232B4" w:rsidRPr="00A66431" w:rsidRDefault="00A66431" w:rsidP="00604A3C">
            <w:pPr>
              <w:pStyle w:val="ListParagraph"/>
              <w:numPr>
                <w:ilvl w:val="0"/>
                <w:numId w:val="4"/>
              </w:numPr>
              <w:rPr>
                <w:rFonts w:cstheme="minorHAnsi"/>
                <w:sz w:val="20"/>
                <w:szCs w:val="20"/>
              </w:rPr>
            </w:pPr>
            <w:r>
              <w:rPr>
                <w:rFonts w:cstheme="minorHAnsi"/>
                <w:sz w:val="20"/>
                <w:szCs w:val="20"/>
              </w:rPr>
              <w:t>To remove</w:t>
            </w:r>
            <w:r w:rsidR="00A232B4" w:rsidRPr="00A66431">
              <w:rPr>
                <w:rFonts w:cstheme="minorHAnsi"/>
                <w:sz w:val="20"/>
                <w:szCs w:val="20"/>
              </w:rPr>
              <w:t xml:space="preserve"> as prison regimes start to </w:t>
            </w:r>
            <w:r>
              <w:rPr>
                <w:rFonts w:cstheme="minorHAnsi"/>
                <w:sz w:val="20"/>
                <w:szCs w:val="20"/>
              </w:rPr>
              <w:t>expand</w:t>
            </w:r>
            <w:r w:rsidR="00A232B4" w:rsidRPr="00A66431">
              <w:rPr>
                <w:rFonts w:cstheme="minorHAnsi"/>
                <w:sz w:val="20"/>
                <w:szCs w:val="20"/>
              </w:rPr>
              <w:t xml:space="preserve"> to prevent any debt-related issues</w:t>
            </w:r>
          </w:p>
          <w:p w14:paraId="3DB828DB" w14:textId="77777777" w:rsidR="00A232B4" w:rsidRPr="00A66431" w:rsidRDefault="00A232B4" w:rsidP="00604A3C">
            <w:pPr>
              <w:pStyle w:val="ListParagraph"/>
              <w:numPr>
                <w:ilvl w:val="0"/>
                <w:numId w:val="4"/>
              </w:numPr>
              <w:rPr>
                <w:rFonts w:cstheme="minorHAnsi"/>
                <w:sz w:val="20"/>
                <w:szCs w:val="20"/>
              </w:rPr>
            </w:pPr>
            <w:r w:rsidRPr="00A66431">
              <w:rPr>
                <w:rFonts w:cstheme="minorHAnsi"/>
                <w:sz w:val="20"/>
                <w:szCs w:val="20"/>
              </w:rPr>
              <w:t>Can be switched off prior to September at Governor’s discretion.</w:t>
            </w:r>
          </w:p>
        </w:tc>
        <w:tc>
          <w:tcPr>
            <w:tcW w:w="3681" w:type="dxa"/>
          </w:tcPr>
          <w:p w14:paraId="027FE0E6" w14:textId="24A127B9" w:rsidR="00A232B4" w:rsidRPr="00A66431" w:rsidRDefault="00A232B4" w:rsidP="00604A3C">
            <w:pPr>
              <w:pStyle w:val="ListParagraph"/>
              <w:numPr>
                <w:ilvl w:val="0"/>
                <w:numId w:val="4"/>
              </w:numPr>
              <w:rPr>
                <w:rFonts w:cstheme="minorHAnsi"/>
                <w:sz w:val="20"/>
                <w:szCs w:val="20"/>
              </w:rPr>
            </w:pPr>
            <w:r w:rsidRPr="00A66431">
              <w:rPr>
                <w:rFonts w:cstheme="minorHAnsi"/>
                <w:sz w:val="20"/>
                <w:szCs w:val="20"/>
              </w:rPr>
              <w:t xml:space="preserve">Can be reintroduced at </w:t>
            </w:r>
            <w:r w:rsidR="00A748B7" w:rsidRPr="00A66431">
              <w:rPr>
                <w:rFonts w:cstheme="minorHAnsi"/>
                <w:sz w:val="20"/>
                <w:szCs w:val="20"/>
              </w:rPr>
              <w:t>G</w:t>
            </w:r>
            <w:r w:rsidRPr="00A66431">
              <w:rPr>
                <w:rFonts w:cstheme="minorHAnsi"/>
                <w:sz w:val="20"/>
                <w:szCs w:val="20"/>
              </w:rPr>
              <w:t>overnor discretion where circumstances require it</w:t>
            </w:r>
          </w:p>
        </w:tc>
        <w:tc>
          <w:tcPr>
            <w:tcW w:w="4592" w:type="dxa"/>
          </w:tcPr>
          <w:p w14:paraId="7EE3864E" w14:textId="77777777" w:rsidR="00A232B4" w:rsidRPr="00A66431" w:rsidRDefault="0040321A" w:rsidP="00604A3C">
            <w:pPr>
              <w:pStyle w:val="ListParagraph"/>
              <w:ind w:left="0"/>
              <w:rPr>
                <w:rFonts w:cstheme="minorHAnsi"/>
                <w:sz w:val="20"/>
                <w:szCs w:val="20"/>
              </w:rPr>
            </w:pPr>
            <w:hyperlink r:id="rId17" w:history="1">
              <w:r w:rsidR="00A232B4" w:rsidRPr="00A66431">
                <w:rPr>
                  <w:rStyle w:val="Hyperlink"/>
                  <w:rFonts w:cstheme="minorHAnsi"/>
                  <w:sz w:val="20"/>
                  <w:szCs w:val="20"/>
                </w:rPr>
                <w:t>Operational_policy1@justice.gov.uk</w:t>
              </w:r>
            </w:hyperlink>
          </w:p>
        </w:tc>
      </w:tr>
      <w:tr w:rsidR="00A232B4" w:rsidRPr="00430472" w14:paraId="06844297" w14:textId="77777777" w:rsidTr="00604A3C">
        <w:trPr>
          <w:trHeight w:val="673"/>
        </w:trPr>
        <w:tc>
          <w:tcPr>
            <w:tcW w:w="1663" w:type="dxa"/>
          </w:tcPr>
          <w:p w14:paraId="33C5A60C" w14:textId="77777777" w:rsidR="00A232B4" w:rsidRPr="00A66431" w:rsidRDefault="00A232B4" w:rsidP="00604A3C">
            <w:pPr>
              <w:rPr>
                <w:rFonts w:cstheme="minorHAnsi"/>
                <w:sz w:val="20"/>
                <w:szCs w:val="20"/>
              </w:rPr>
            </w:pPr>
            <w:r w:rsidRPr="00A66431">
              <w:rPr>
                <w:rFonts w:cstheme="minorHAnsi"/>
                <w:sz w:val="20"/>
                <w:szCs w:val="20"/>
              </w:rPr>
              <w:t>In cell TVs (removal of rental charge)</w:t>
            </w:r>
          </w:p>
        </w:tc>
        <w:tc>
          <w:tcPr>
            <w:tcW w:w="1902" w:type="dxa"/>
          </w:tcPr>
          <w:p w14:paraId="407FEE5B" w14:textId="77777777" w:rsidR="00A232B4" w:rsidRPr="00A66431" w:rsidRDefault="00A232B4" w:rsidP="00604A3C">
            <w:pPr>
              <w:rPr>
                <w:rFonts w:cstheme="minorHAnsi"/>
                <w:sz w:val="20"/>
                <w:szCs w:val="20"/>
              </w:rPr>
            </w:pPr>
            <w:r w:rsidRPr="00A66431">
              <w:rPr>
                <w:rFonts w:cstheme="minorHAnsi"/>
                <w:sz w:val="20"/>
                <w:szCs w:val="20"/>
              </w:rPr>
              <w:t xml:space="preserve">Switch off by end of September (i.e. rental charge to be </w:t>
            </w:r>
            <w:r w:rsidRPr="00A66431">
              <w:rPr>
                <w:rFonts w:cstheme="minorHAnsi"/>
                <w:sz w:val="20"/>
                <w:szCs w:val="20"/>
              </w:rPr>
              <w:lastRenderedPageBreak/>
              <w:t>reintroduced after deadline)</w:t>
            </w:r>
          </w:p>
        </w:tc>
        <w:tc>
          <w:tcPr>
            <w:tcW w:w="4033" w:type="dxa"/>
          </w:tcPr>
          <w:p w14:paraId="06E7E44A" w14:textId="605A138B" w:rsidR="00A232B4" w:rsidRPr="00A66431" w:rsidRDefault="00A66431" w:rsidP="00604A3C">
            <w:pPr>
              <w:pStyle w:val="ListParagraph"/>
              <w:numPr>
                <w:ilvl w:val="0"/>
                <w:numId w:val="3"/>
              </w:numPr>
              <w:rPr>
                <w:rFonts w:cstheme="minorHAnsi"/>
                <w:sz w:val="20"/>
                <w:szCs w:val="20"/>
              </w:rPr>
            </w:pPr>
            <w:r>
              <w:rPr>
                <w:rFonts w:cstheme="minorHAnsi"/>
                <w:sz w:val="20"/>
                <w:szCs w:val="20"/>
              </w:rPr>
              <w:lastRenderedPageBreak/>
              <w:t xml:space="preserve">To remove </w:t>
            </w:r>
            <w:r w:rsidR="00A232B4" w:rsidRPr="00A66431">
              <w:rPr>
                <w:rFonts w:cstheme="minorHAnsi"/>
                <w:sz w:val="20"/>
                <w:szCs w:val="20"/>
              </w:rPr>
              <w:t xml:space="preserve"> as prison regimes start to open to prevent any debt-related issues </w:t>
            </w:r>
          </w:p>
          <w:p w14:paraId="092DAC73" w14:textId="77777777" w:rsidR="00A232B4" w:rsidRPr="00A66431" w:rsidRDefault="00A232B4" w:rsidP="00604A3C">
            <w:pPr>
              <w:pStyle w:val="ListParagraph"/>
              <w:numPr>
                <w:ilvl w:val="0"/>
                <w:numId w:val="3"/>
              </w:numPr>
              <w:rPr>
                <w:rFonts w:cstheme="minorHAnsi"/>
                <w:sz w:val="20"/>
                <w:szCs w:val="20"/>
              </w:rPr>
            </w:pPr>
            <w:r w:rsidRPr="00A66431">
              <w:rPr>
                <w:rFonts w:cstheme="minorHAnsi"/>
                <w:sz w:val="20"/>
                <w:szCs w:val="20"/>
              </w:rPr>
              <w:lastRenderedPageBreak/>
              <w:t>Rental charge can be gradually reintroduced prior to September deadline at Governor’s discretion</w:t>
            </w:r>
          </w:p>
        </w:tc>
        <w:tc>
          <w:tcPr>
            <w:tcW w:w="3681" w:type="dxa"/>
          </w:tcPr>
          <w:p w14:paraId="383D68C8" w14:textId="4FC913E2" w:rsidR="00A232B4" w:rsidRPr="00A66431" w:rsidRDefault="00A232B4" w:rsidP="00604A3C">
            <w:pPr>
              <w:pStyle w:val="ListParagraph"/>
              <w:numPr>
                <w:ilvl w:val="0"/>
                <w:numId w:val="3"/>
              </w:numPr>
              <w:rPr>
                <w:rFonts w:cstheme="minorHAnsi"/>
                <w:sz w:val="20"/>
                <w:szCs w:val="20"/>
              </w:rPr>
            </w:pPr>
            <w:r w:rsidRPr="00A66431">
              <w:rPr>
                <w:rFonts w:cstheme="minorHAnsi"/>
                <w:sz w:val="20"/>
                <w:szCs w:val="20"/>
              </w:rPr>
              <w:lastRenderedPageBreak/>
              <w:t xml:space="preserve">Mitigation (removal of charge) can be reintroduced at </w:t>
            </w:r>
            <w:r w:rsidR="00A748B7" w:rsidRPr="00A66431">
              <w:rPr>
                <w:rFonts w:cstheme="minorHAnsi"/>
                <w:sz w:val="20"/>
                <w:szCs w:val="20"/>
              </w:rPr>
              <w:t>G</w:t>
            </w:r>
            <w:r w:rsidRPr="00A66431">
              <w:rPr>
                <w:rFonts w:cstheme="minorHAnsi"/>
                <w:sz w:val="20"/>
                <w:szCs w:val="20"/>
              </w:rPr>
              <w:t>overnor discretion where circumstances require it</w:t>
            </w:r>
          </w:p>
        </w:tc>
        <w:tc>
          <w:tcPr>
            <w:tcW w:w="4592" w:type="dxa"/>
          </w:tcPr>
          <w:p w14:paraId="26E9928E" w14:textId="77777777" w:rsidR="00A232B4" w:rsidRPr="00A66431" w:rsidRDefault="0040321A" w:rsidP="00604A3C">
            <w:pPr>
              <w:rPr>
                <w:rFonts w:cstheme="minorHAnsi"/>
                <w:sz w:val="20"/>
                <w:szCs w:val="20"/>
              </w:rPr>
            </w:pPr>
            <w:hyperlink r:id="rId18" w:history="1">
              <w:r w:rsidR="00A232B4" w:rsidRPr="00A66431">
                <w:rPr>
                  <w:rStyle w:val="Hyperlink"/>
                  <w:rFonts w:cstheme="minorHAnsi"/>
                  <w:sz w:val="20"/>
                  <w:szCs w:val="20"/>
                </w:rPr>
                <w:t>Operational_policy1@justice.gov.uk</w:t>
              </w:r>
            </w:hyperlink>
          </w:p>
          <w:p w14:paraId="69A81984" w14:textId="77777777" w:rsidR="00A232B4" w:rsidRPr="00A66431" w:rsidRDefault="00A232B4" w:rsidP="00604A3C">
            <w:pPr>
              <w:rPr>
                <w:rFonts w:cstheme="minorHAnsi"/>
                <w:sz w:val="20"/>
                <w:szCs w:val="20"/>
              </w:rPr>
            </w:pPr>
          </w:p>
          <w:p w14:paraId="70E7C52D" w14:textId="77777777" w:rsidR="00A232B4" w:rsidRPr="00A66431" w:rsidRDefault="0040321A" w:rsidP="00604A3C">
            <w:pPr>
              <w:pStyle w:val="ListParagraph"/>
              <w:ind w:left="0"/>
              <w:rPr>
                <w:rFonts w:cstheme="minorHAnsi"/>
                <w:sz w:val="20"/>
                <w:szCs w:val="20"/>
              </w:rPr>
            </w:pPr>
            <w:hyperlink r:id="rId19" w:history="1">
              <w:r w:rsidR="00A232B4" w:rsidRPr="00A66431">
                <w:rPr>
                  <w:rStyle w:val="Hyperlink"/>
                  <w:rFonts w:cstheme="minorHAnsi"/>
                  <w:sz w:val="20"/>
                  <w:szCs w:val="20"/>
                </w:rPr>
                <w:t>Incentives Policy Framework - GOV.UK (www.gov.uk)</w:t>
              </w:r>
            </w:hyperlink>
          </w:p>
        </w:tc>
      </w:tr>
      <w:tr w:rsidR="00A232B4" w:rsidRPr="00430472" w14:paraId="7127358E" w14:textId="77777777" w:rsidTr="00604A3C">
        <w:trPr>
          <w:trHeight w:val="688"/>
        </w:trPr>
        <w:tc>
          <w:tcPr>
            <w:tcW w:w="1663" w:type="dxa"/>
          </w:tcPr>
          <w:p w14:paraId="1AFB5C6C" w14:textId="77777777" w:rsidR="00A232B4" w:rsidRPr="00A66431" w:rsidRDefault="00A232B4" w:rsidP="00604A3C">
            <w:pPr>
              <w:rPr>
                <w:rFonts w:cstheme="minorHAnsi"/>
                <w:sz w:val="20"/>
                <w:szCs w:val="20"/>
              </w:rPr>
            </w:pPr>
            <w:r w:rsidRPr="00A66431">
              <w:rPr>
                <w:rFonts w:cstheme="minorHAnsi"/>
                <w:sz w:val="20"/>
                <w:szCs w:val="20"/>
              </w:rPr>
              <w:t>Pin Credit</w:t>
            </w:r>
          </w:p>
        </w:tc>
        <w:tc>
          <w:tcPr>
            <w:tcW w:w="1902" w:type="dxa"/>
          </w:tcPr>
          <w:p w14:paraId="38154C3D" w14:textId="77777777" w:rsidR="00A232B4" w:rsidRPr="00A66431" w:rsidRDefault="00A232B4" w:rsidP="00604A3C">
            <w:pPr>
              <w:rPr>
                <w:rFonts w:cstheme="minorHAnsi"/>
                <w:sz w:val="20"/>
                <w:szCs w:val="20"/>
              </w:rPr>
            </w:pPr>
            <w:r w:rsidRPr="00A66431">
              <w:rPr>
                <w:rFonts w:cstheme="minorHAnsi"/>
                <w:sz w:val="20"/>
                <w:szCs w:val="20"/>
              </w:rPr>
              <w:t>Switch off by end of September</w:t>
            </w:r>
          </w:p>
        </w:tc>
        <w:tc>
          <w:tcPr>
            <w:tcW w:w="4033" w:type="dxa"/>
          </w:tcPr>
          <w:p w14:paraId="7BC23444" w14:textId="1AE57418" w:rsidR="00D642E0" w:rsidRPr="00A66431" w:rsidRDefault="00A232B4" w:rsidP="00604A3C">
            <w:pPr>
              <w:pStyle w:val="ListParagraph"/>
              <w:numPr>
                <w:ilvl w:val="0"/>
                <w:numId w:val="3"/>
              </w:numPr>
              <w:rPr>
                <w:rFonts w:cstheme="minorHAnsi"/>
                <w:sz w:val="20"/>
                <w:szCs w:val="20"/>
              </w:rPr>
            </w:pPr>
            <w:r w:rsidRPr="00A66431">
              <w:rPr>
                <w:rFonts w:cstheme="minorHAnsi"/>
                <w:sz w:val="20"/>
                <w:szCs w:val="20"/>
              </w:rPr>
              <w:t>Gradual stepped reduction in small increments in the lead up to the deadline to allow for adjustment</w:t>
            </w:r>
            <w:r w:rsidR="008C1A51" w:rsidRPr="00A66431">
              <w:rPr>
                <w:rFonts w:cstheme="minorHAnsi"/>
                <w:sz w:val="20"/>
                <w:szCs w:val="20"/>
              </w:rPr>
              <w:t>, agreed with BT.</w:t>
            </w:r>
          </w:p>
          <w:p w14:paraId="241A920F" w14:textId="700C94BF" w:rsidR="00A232B4" w:rsidRPr="00A66431" w:rsidRDefault="00D642E0" w:rsidP="00D642E0">
            <w:pPr>
              <w:pStyle w:val="ListParagraph"/>
              <w:numPr>
                <w:ilvl w:val="1"/>
                <w:numId w:val="3"/>
              </w:numPr>
              <w:rPr>
                <w:rFonts w:cstheme="minorHAnsi"/>
                <w:sz w:val="20"/>
                <w:szCs w:val="20"/>
              </w:rPr>
            </w:pPr>
            <w:r w:rsidRPr="00A66431">
              <w:rPr>
                <w:rFonts w:cstheme="minorHAnsi"/>
                <w:sz w:val="20"/>
                <w:szCs w:val="20"/>
              </w:rPr>
              <w:t xml:space="preserve">w/c </w:t>
            </w:r>
            <w:r w:rsidR="00332112" w:rsidRPr="00A66431">
              <w:rPr>
                <w:rFonts w:cstheme="minorHAnsi"/>
                <w:sz w:val="20"/>
                <w:szCs w:val="20"/>
              </w:rPr>
              <w:t>13</w:t>
            </w:r>
            <w:r w:rsidRPr="00A66431">
              <w:rPr>
                <w:rFonts w:cstheme="minorHAnsi"/>
                <w:sz w:val="20"/>
                <w:szCs w:val="20"/>
              </w:rPr>
              <w:t xml:space="preserve"> Sep – reduce to £3</w:t>
            </w:r>
          </w:p>
          <w:p w14:paraId="20AAA544" w14:textId="633EDBBA" w:rsidR="00D642E0" w:rsidRPr="00A66431" w:rsidRDefault="00D642E0" w:rsidP="00D642E0">
            <w:pPr>
              <w:pStyle w:val="ListParagraph"/>
              <w:numPr>
                <w:ilvl w:val="1"/>
                <w:numId w:val="3"/>
              </w:numPr>
              <w:rPr>
                <w:rFonts w:cstheme="minorHAnsi"/>
                <w:sz w:val="20"/>
                <w:szCs w:val="20"/>
              </w:rPr>
            </w:pPr>
            <w:r w:rsidRPr="00A66431">
              <w:rPr>
                <w:rFonts w:cstheme="minorHAnsi"/>
                <w:sz w:val="20"/>
                <w:szCs w:val="20"/>
              </w:rPr>
              <w:t>w/c 2</w:t>
            </w:r>
            <w:r w:rsidR="00F905AD" w:rsidRPr="00A66431">
              <w:rPr>
                <w:rFonts w:cstheme="minorHAnsi"/>
                <w:sz w:val="20"/>
                <w:szCs w:val="20"/>
              </w:rPr>
              <w:t xml:space="preserve">7 </w:t>
            </w:r>
            <w:r w:rsidRPr="00A66431">
              <w:rPr>
                <w:rFonts w:cstheme="minorHAnsi"/>
                <w:sz w:val="20"/>
                <w:szCs w:val="20"/>
              </w:rPr>
              <w:t>Sep</w:t>
            </w:r>
            <w:r w:rsidR="008C1A51" w:rsidRPr="00A66431">
              <w:rPr>
                <w:rFonts w:cstheme="minorHAnsi"/>
                <w:sz w:val="20"/>
                <w:szCs w:val="20"/>
              </w:rPr>
              <w:t xml:space="preserve"> (last payment)</w:t>
            </w:r>
            <w:r w:rsidRPr="00A66431">
              <w:rPr>
                <w:rFonts w:cstheme="minorHAnsi"/>
                <w:sz w:val="20"/>
                <w:szCs w:val="20"/>
              </w:rPr>
              <w:t xml:space="preserve"> – reduce to £1.50</w:t>
            </w:r>
          </w:p>
          <w:p w14:paraId="2A621162" w14:textId="6DB020B6" w:rsidR="00A232B4" w:rsidRPr="00A66431" w:rsidRDefault="00A232B4" w:rsidP="00604A3C">
            <w:pPr>
              <w:pStyle w:val="ListParagraph"/>
              <w:numPr>
                <w:ilvl w:val="0"/>
                <w:numId w:val="3"/>
              </w:numPr>
              <w:rPr>
                <w:rFonts w:cstheme="minorHAnsi"/>
                <w:sz w:val="20"/>
                <w:szCs w:val="20"/>
              </w:rPr>
            </w:pPr>
            <w:r w:rsidRPr="00A66431">
              <w:rPr>
                <w:rFonts w:cstheme="minorHAnsi"/>
                <w:sz w:val="20"/>
                <w:szCs w:val="20"/>
              </w:rPr>
              <w:t>Must be switched off nationally, not possible for establishments to switch off ahead of the deadline.</w:t>
            </w:r>
            <w:r w:rsidRPr="00A66431">
              <w:rPr>
                <w:rFonts w:cstheme="minorHAnsi"/>
                <w:color w:val="FF0000"/>
                <w:sz w:val="20"/>
                <w:szCs w:val="20"/>
              </w:rPr>
              <w:t xml:space="preserve"> </w:t>
            </w:r>
          </w:p>
          <w:p w14:paraId="18E3CF9E" w14:textId="4642A7A6" w:rsidR="00E64634" w:rsidRPr="00A66431" w:rsidRDefault="00E64634" w:rsidP="00604A3C">
            <w:pPr>
              <w:pStyle w:val="ListParagraph"/>
              <w:numPr>
                <w:ilvl w:val="0"/>
                <w:numId w:val="3"/>
              </w:numPr>
              <w:rPr>
                <w:rFonts w:cstheme="minorHAnsi"/>
                <w:sz w:val="20"/>
                <w:szCs w:val="20"/>
              </w:rPr>
            </w:pPr>
            <w:r w:rsidRPr="00A66431">
              <w:rPr>
                <w:rFonts w:cstheme="minorHAnsi"/>
                <w:sz w:val="20"/>
                <w:szCs w:val="20"/>
              </w:rPr>
              <w:t>YCS will retain</w:t>
            </w:r>
            <w:r w:rsidR="00801E76" w:rsidRPr="00A66431">
              <w:rPr>
                <w:rFonts w:cstheme="minorHAnsi"/>
                <w:sz w:val="20"/>
                <w:szCs w:val="20"/>
              </w:rPr>
              <w:t xml:space="preserve"> this measure </w:t>
            </w:r>
            <w:r w:rsidRPr="00A66431">
              <w:rPr>
                <w:rFonts w:cstheme="minorHAnsi"/>
                <w:sz w:val="20"/>
                <w:szCs w:val="20"/>
              </w:rPr>
              <w:t>until establishments reach Stage 1 – separate communications to follow.</w:t>
            </w:r>
          </w:p>
          <w:p w14:paraId="7FF1920F" w14:textId="4A940766" w:rsidR="00E64634" w:rsidRPr="00A66431" w:rsidRDefault="00E64634" w:rsidP="00604A3C">
            <w:pPr>
              <w:pStyle w:val="ListParagraph"/>
              <w:numPr>
                <w:ilvl w:val="0"/>
                <w:numId w:val="3"/>
              </w:numPr>
              <w:rPr>
                <w:rFonts w:cstheme="minorHAnsi"/>
                <w:sz w:val="20"/>
                <w:szCs w:val="20"/>
              </w:rPr>
            </w:pPr>
            <w:r w:rsidRPr="00A66431">
              <w:rPr>
                <w:rFonts w:cstheme="minorHAnsi"/>
                <w:sz w:val="20"/>
                <w:szCs w:val="20"/>
              </w:rPr>
              <w:t xml:space="preserve">The Women’s Estate </w:t>
            </w:r>
            <w:r w:rsidR="00871908" w:rsidRPr="00A66431">
              <w:rPr>
                <w:rFonts w:cstheme="minorHAnsi"/>
                <w:sz w:val="20"/>
                <w:szCs w:val="20"/>
              </w:rPr>
              <w:t>is pursuing extending the use of this measure</w:t>
            </w:r>
            <w:r w:rsidR="00801E76" w:rsidRPr="00A66431">
              <w:rPr>
                <w:rFonts w:cstheme="minorHAnsi"/>
                <w:sz w:val="20"/>
                <w:szCs w:val="20"/>
              </w:rPr>
              <w:t>. F</w:t>
            </w:r>
            <w:r w:rsidR="00871908" w:rsidRPr="00A66431">
              <w:rPr>
                <w:rFonts w:cstheme="minorHAnsi"/>
                <w:sz w:val="20"/>
                <w:szCs w:val="20"/>
              </w:rPr>
              <w:t>ollow up comms</w:t>
            </w:r>
            <w:r w:rsidR="00801E76" w:rsidRPr="00A66431">
              <w:rPr>
                <w:rFonts w:cstheme="minorHAnsi"/>
                <w:sz w:val="20"/>
                <w:szCs w:val="20"/>
              </w:rPr>
              <w:t xml:space="preserve"> to come</w:t>
            </w:r>
            <w:r w:rsidR="00871908" w:rsidRPr="00A66431">
              <w:rPr>
                <w:rFonts w:cstheme="minorHAnsi"/>
                <w:sz w:val="20"/>
                <w:szCs w:val="20"/>
              </w:rPr>
              <w:t xml:space="preserve"> in due course.</w:t>
            </w:r>
          </w:p>
          <w:p w14:paraId="0F419E78" w14:textId="77777777" w:rsidR="00A232B4" w:rsidRPr="00A66431" w:rsidRDefault="00A232B4" w:rsidP="00D642E0">
            <w:pPr>
              <w:pStyle w:val="ListParagraph"/>
              <w:ind w:left="360"/>
              <w:rPr>
                <w:rFonts w:cstheme="minorHAnsi"/>
                <w:sz w:val="20"/>
                <w:szCs w:val="20"/>
              </w:rPr>
            </w:pPr>
          </w:p>
          <w:p w14:paraId="6369081B" w14:textId="6F30AFDC" w:rsidR="00A232B4" w:rsidRPr="00A66431" w:rsidRDefault="00A232B4" w:rsidP="00604A3C">
            <w:pPr>
              <w:pStyle w:val="ListParagraph"/>
              <w:ind w:left="0"/>
              <w:rPr>
                <w:rFonts w:cstheme="minorHAnsi"/>
                <w:b/>
                <w:bCs/>
                <w:sz w:val="20"/>
                <w:szCs w:val="20"/>
              </w:rPr>
            </w:pPr>
            <w:r w:rsidRPr="00A66431">
              <w:rPr>
                <w:rFonts w:cstheme="minorHAnsi"/>
                <w:b/>
                <w:bCs/>
                <w:sz w:val="20"/>
                <w:szCs w:val="20"/>
              </w:rPr>
              <w:t xml:space="preserve">Note BT has agreed to sustain the </w:t>
            </w:r>
            <w:r w:rsidR="00512CFF" w:rsidRPr="00A66431">
              <w:rPr>
                <w:rFonts w:cstheme="minorHAnsi"/>
                <w:b/>
                <w:bCs/>
                <w:sz w:val="20"/>
                <w:szCs w:val="20"/>
              </w:rPr>
              <w:t xml:space="preserve">reduced </w:t>
            </w:r>
            <w:r w:rsidRPr="00A66431">
              <w:rPr>
                <w:rFonts w:cstheme="minorHAnsi"/>
                <w:b/>
                <w:bCs/>
                <w:sz w:val="20"/>
                <w:szCs w:val="20"/>
              </w:rPr>
              <w:t xml:space="preserve">call rates that were </w:t>
            </w:r>
            <w:r w:rsidR="00512CFF" w:rsidRPr="00A66431">
              <w:rPr>
                <w:rFonts w:cstheme="minorHAnsi"/>
                <w:b/>
                <w:bCs/>
                <w:sz w:val="20"/>
                <w:szCs w:val="20"/>
              </w:rPr>
              <w:t xml:space="preserve">introduced when this mitigation began. This reduced rate will continue </w:t>
            </w:r>
            <w:r w:rsidR="00604A3C" w:rsidRPr="00A66431">
              <w:rPr>
                <w:rFonts w:cstheme="minorHAnsi"/>
                <w:b/>
                <w:bCs/>
                <w:sz w:val="20"/>
                <w:szCs w:val="20"/>
              </w:rPr>
              <w:t>beyond the end of September.</w:t>
            </w:r>
          </w:p>
        </w:tc>
        <w:tc>
          <w:tcPr>
            <w:tcW w:w="3681" w:type="dxa"/>
          </w:tcPr>
          <w:p w14:paraId="4F68DB95" w14:textId="567C041D" w:rsidR="00A232B4" w:rsidRPr="00A66431" w:rsidRDefault="00A232B4" w:rsidP="00604A3C">
            <w:pPr>
              <w:pStyle w:val="ListParagraph"/>
              <w:numPr>
                <w:ilvl w:val="0"/>
                <w:numId w:val="3"/>
              </w:numPr>
              <w:rPr>
                <w:rFonts w:cstheme="minorHAnsi"/>
                <w:sz w:val="20"/>
                <w:szCs w:val="20"/>
              </w:rPr>
            </w:pPr>
            <w:r w:rsidRPr="00A66431">
              <w:rPr>
                <w:rFonts w:cstheme="minorHAnsi"/>
                <w:sz w:val="20"/>
                <w:szCs w:val="20"/>
              </w:rPr>
              <w:t xml:space="preserve">Can be reintroduced at </w:t>
            </w:r>
            <w:r w:rsidR="00A748B7" w:rsidRPr="00A66431">
              <w:rPr>
                <w:rFonts w:cstheme="minorHAnsi"/>
                <w:sz w:val="20"/>
                <w:szCs w:val="20"/>
              </w:rPr>
              <w:t>G</w:t>
            </w:r>
            <w:r w:rsidRPr="00A66431">
              <w:rPr>
                <w:rFonts w:cstheme="minorHAnsi"/>
                <w:sz w:val="20"/>
                <w:szCs w:val="20"/>
              </w:rPr>
              <w:t>overnor discretion where circumstances require it</w:t>
            </w:r>
          </w:p>
          <w:p w14:paraId="28344A81" w14:textId="292291A2" w:rsidR="00C838CF" w:rsidRPr="00A66431" w:rsidRDefault="00A232B4" w:rsidP="00604A3C">
            <w:pPr>
              <w:pStyle w:val="ListParagraph"/>
              <w:numPr>
                <w:ilvl w:val="0"/>
                <w:numId w:val="3"/>
              </w:numPr>
              <w:rPr>
                <w:rFonts w:cstheme="minorHAnsi"/>
                <w:sz w:val="20"/>
                <w:szCs w:val="20"/>
              </w:rPr>
            </w:pPr>
            <w:r w:rsidRPr="00A66431">
              <w:rPr>
                <w:rFonts w:cstheme="minorHAnsi"/>
                <w:sz w:val="20"/>
                <w:szCs w:val="20"/>
              </w:rPr>
              <w:t>Self-serve function on PIN System can be used to purchase PIN for all prisoners</w:t>
            </w:r>
            <w:r w:rsidR="00C838CF" w:rsidRPr="00A66431">
              <w:rPr>
                <w:rFonts w:cstheme="minorHAnsi"/>
                <w:sz w:val="20"/>
                <w:szCs w:val="20"/>
              </w:rPr>
              <w:t xml:space="preserve"> if reintroduction required</w:t>
            </w:r>
            <w:r w:rsidRPr="00A66431">
              <w:rPr>
                <w:rFonts w:cstheme="minorHAnsi"/>
                <w:sz w:val="20"/>
                <w:szCs w:val="20"/>
              </w:rPr>
              <w:t xml:space="preserve">. </w:t>
            </w:r>
          </w:p>
          <w:p w14:paraId="04BCD2ED" w14:textId="26D72B53" w:rsidR="00A232B4" w:rsidRPr="00A66431" w:rsidRDefault="00A232B4" w:rsidP="00604A3C">
            <w:pPr>
              <w:pStyle w:val="ListParagraph"/>
              <w:numPr>
                <w:ilvl w:val="0"/>
                <w:numId w:val="3"/>
              </w:numPr>
              <w:rPr>
                <w:rFonts w:cstheme="minorHAnsi"/>
                <w:sz w:val="20"/>
                <w:szCs w:val="20"/>
              </w:rPr>
            </w:pPr>
            <w:r w:rsidRPr="00A66431">
              <w:rPr>
                <w:rFonts w:cstheme="minorHAnsi"/>
                <w:sz w:val="20"/>
                <w:szCs w:val="20"/>
              </w:rPr>
              <w:t>For specific prisoners or groups of prisoners</w:t>
            </w:r>
            <w:r w:rsidR="00A748B7" w:rsidRPr="00A66431">
              <w:rPr>
                <w:rFonts w:cstheme="minorHAnsi"/>
                <w:sz w:val="20"/>
                <w:szCs w:val="20"/>
              </w:rPr>
              <w:t xml:space="preserve"> </w:t>
            </w:r>
            <w:r w:rsidRPr="00A66431">
              <w:rPr>
                <w:rFonts w:cstheme="minorHAnsi"/>
                <w:sz w:val="20"/>
                <w:szCs w:val="20"/>
              </w:rPr>
              <w:t>– BT will require a list of</w:t>
            </w:r>
            <w:r w:rsidR="00871318" w:rsidRPr="00A66431">
              <w:rPr>
                <w:rFonts w:cstheme="minorHAnsi"/>
                <w:sz w:val="20"/>
                <w:szCs w:val="20"/>
              </w:rPr>
              <w:t xml:space="preserve"> prisoner</w:t>
            </w:r>
            <w:r w:rsidRPr="00A66431">
              <w:rPr>
                <w:rFonts w:cstheme="minorHAnsi"/>
                <w:sz w:val="20"/>
                <w:szCs w:val="20"/>
              </w:rPr>
              <w:t xml:space="preserve"> details. </w:t>
            </w:r>
            <w:r w:rsidR="00A55847" w:rsidRPr="00A66431">
              <w:rPr>
                <w:rFonts w:cstheme="minorHAnsi"/>
                <w:sz w:val="20"/>
                <w:szCs w:val="20"/>
              </w:rPr>
              <w:t>Th</w:t>
            </w:r>
            <w:r w:rsidR="00871318" w:rsidRPr="00A66431">
              <w:rPr>
                <w:rFonts w:cstheme="minorHAnsi"/>
                <w:sz w:val="20"/>
                <w:szCs w:val="20"/>
              </w:rPr>
              <w:t>is c</w:t>
            </w:r>
            <w:r w:rsidRPr="00A66431">
              <w:rPr>
                <w:rFonts w:cstheme="minorHAnsi"/>
                <w:sz w:val="20"/>
                <w:szCs w:val="20"/>
              </w:rPr>
              <w:t>an be activated within 48hrs.</w:t>
            </w:r>
          </w:p>
        </w:tc>
        <w:tc>
          <w:tcPr>
            <w:tcW w:w="4592" w:type="dxa"/>
          </w:tcPr>
          <w:p w14:paraId="5AF481DF" w14:textId="2EF0366C" w:rsidR="00A232B4" w:rsidRPr="00A66431" w:rsidRDefault="0040321A" w:rsidP="00604A3C">
            <w:pPr>
              <w:pStyle w:val="ListParagraph"/>
              <w:ind w:left="0"/>
              <w:rPr>
                <w:rFonts w:cstheme="minorHAnsi"/>
                <w:sz w:val="20"/>
                <w:szCs w:val="20"/>
              </w:rPr>
            </w:pPr>
            <w:hyperlink r:id="rId20" w:history="1">
              <w:r w:rsidR="00802AA7" w:rsidRPr="00A66431">
                <w:rPr>
                  <w:rStyle w:val="Hyperlink"/>
                  <w:rFonts w:cstheme="minorHAnsi"/>
                  <w:sz w:val="20"/>
                  <w:szCs w:val="20"/>
                </w:rPr>
                <w:t>COVID19.RegimesOpsGuidance1@justice.gov.uk</w:t>
              </w:r>
            </w:hyperlink>
          </w:p>
        </w:tc>
      </w:tr>
      <w:tr w:rsidR="00A232B4" w:rsidRPr="00430472" w14:paraId="38625189" w14:textId="77777777" w:rsidTr="00604A3C">
        <w:trPr>
          <w:trHeight w:val="253"/>
        </w:trPr>
        <w:tc>
          <w:tcPr>
            <w:tcW w:w="1663" w:type="dxa"/>
          </w:tcPr>
          <w:p w14:paraId="083E77DC" w14:textId="77777777" w:rsidR="00A232B4" w:rsidRPr="00A66431" w:rsidRDefault="00A232B4" w:rsidP="00604A3C">
            <w:pPr>
              <w:rPr>
                <w:rFonts w:cstheme="minorHAnsi"/>
                <w:sz w:val="20"/>
                <w:szCs w:val="20"/>
              </w:rPr>
            </w:pPr>
            <w:r w:rsidRPr="00A66431">
              <w:rPr>
                <w:rFonts w:cstheme="minorHAnsi"/>
                <w:sz w:val="20"/>
                <w:szCs w:val="20"/>
              </w:rPr>
              <w:t>Temporary Mobile Pin Phones for prisoners without in-cell telephony</w:t>
            </w:r>
          </w:p>
        </w:tc>
        <w:tc>
          <w:tcPr>
            <w:tcW w:w="1902" w:type="dxa"/>
          </w:tcPr>
          <w:p w14:paraId="5F88DC5B" w14:textId="77777777" w:rsidR="00A232B4" w:rsidRPr="00A66431" w:rsidRDefault="00A232B4" w:rsidP="00604A3C">
            <w:pPr>
              <w:pStyle w:val="ListParagraph"/>
              <w:ind w:left="0"/>
              <w:rPr>
                <w:rFonts w:cstheme="minorHAnsi"/>
                <w:sz w:val="20"/>
                <w:szCs w:val="20"/>
              </w:rPr>
            </w:pPr>
            <w:r w:rsidRPr="00A66431">
              <w:rPr>
                <w:rFonts w:cstheme="minorHAnsi"/>
                <w:sz w:val="20"/>
                <w:szCs w:val="20"/>
              </w:rPr>
              <w:t>Remain in temporary accommodation units until May 2022 (agreed with BT).</w:t>
            </w:r>
          </w:p>
          <w:p w14:paraId="207A7A0F" w14:textId="77777777" w:rsidR="00A232B4" w:rsidRPr="00A66431" w:rsidRDefault="00A232B4" w:rsidP="00604A3C">
            <w:pPr>
              <w:pStyle w:val="ListParagraph"/>
              <w:ind w:left="0"/>
              <w:rPr>
                <w:rFonts w:cstheme="minorHAnsi"/>
                <w:sz w:val="20"/>
                <w:szCs w:val="20"/>
              </w:rPr>
            </w:pPr>
          </w:p>
          <w:p w14:paraId="15A9539D" w14:textId="77777777" w:rsidR="00A232B4" w:rsidRPr="00A66431" w:rsidRDefault="00A232B4" w:rsidP="00604A3C">
            <w:pPr>
              <w:pStyle w:val="ListParagraph"/>
              <w:ind w:left="0"/>
              <w:rPr>
                <w:rFonts w:cstheme="minorHAnsi"/>
                <w:sz w:val="20"/>
                <w:szCs w:val="20"/>
              </w:rPr>
            </w:pPr>
            <w:r w:rsidRPr="00A66431">
              <w:rPr>
                <w:rFonts w:cstheme="minorHAnsi"/>
                <w:sz w:val="20"/>
                <w:szCs w:val="20"/>
              </w:rPr>
              <w:t>Remaining prisons, to remove by end of September</w:t>
            </w:r>
          </w:p>
        </w:tc>
        <w:tc>
          <w:tcPr>
            <w:tcW w:w="4033" w:type="dxa"/>
          </w:tcPr>
          <w:p w14:paraId="1BF9706D" w14:textId="1D94F0C7" w:rsidR="00A232B4" w:rsidRPr="00A66431" w:rsidRDefault="00A232B4" w:rsidP="00604A3C">
            <w:pPr>
              <w:pStyle w:val="ListParagraph"/>
              <w:numPr>
                <w:ilvl w:val="0"/>
                <w:numId w:val="1"/>
              </w:numPr>
              <w:rPr>
                <w:rFonts w:cstheme="minorHAnsi"/>
                <w:sz w:val="20"/>
                <w:szCs w:val="20"/>
              </w:rPr>
            </w:pPr>
            <w:r w:rsidRPr="00A66431">
              <w:rPr>
                <w:rFonts w:cstheme="minorHAnsi"/>
                <w:sz w:val="20"/>
                <w:szCs w:val="20"/>
              </w:rPr>
              <w:t xml:space="preserve">Expectation that establishments send back phones at end of September, unless an extension has been agreed. </w:t>
            </w:r>
            <w:r w:rsidR="006C22BE" w:rsidRPr="00A66431">
              <w:rPr>
                <w:rFonts w:cstheme="minorHAnsi"/>
                <w:sz w:val="20"/>
                <w:szCs w:val="20"/>
              </w:rPr>
              <w:t>The central monitoring team will be in touch with direct instructions about the returns process.</w:t>
            </w:r>
          </w:p>
          <w:p w14:paraId="4B5AB687" w14:textId="77777777" w:rsidR="00A232B4" w:rsidRPr="00A66431" w:rsidRDefault="00A232B4" w:rsidP="00604A3C">
            <w:pPr>
              <w:pStyle w:val="ListParagraph"/>
              <w:numPr>
                <w:ilvl w:val="0"/>
                <w:numId w:val="1"/>
              </w:numPr>
              <w:rPr>
                <w:rFonts w:cstheme="minorHAnsi"/>
                <w:sz w:val="20"/>
                <w:szCs w:val="20"/>
              </w:rPr>
            </w:pPr>
            <w:r w:rsidRPr="00A66431">
              <w:rPr>
                <w:rFonts w:cstheme="minorHAnsi"/>
                <w:sz w:val="20"/>
                <w:szCs w:val="20"/>
              </w:rPr>
              <w:t>Can be switched off prior to September at Governor’s discretion</w:t>
            </w:r>
          </w:p>
        </w:tc>
        <w:tc>
          <w:tcPr>
            <w:tcW w:w="3681" w:type="dxa"/>
          </w:tcPr>
          <w:p w14:paraId="721923F8" w14:textId="596FC82B" w:rsidR="00A232B4" w:rsidRPr="00A66431" w:rsidRDefault="00A232B4" w:rsidP="00604A3C">
            <w:pPr>
              <w:pStyle w:val="ListParagraph"/>
              <w:numPr>
                <w:ilvl w:val="0"/>
                <w:numId w:val="1"/>
              </w:numPr>
              <w:rPr>
                <w:rFonts w:cstheme="minorHAnsi"/>
                <w:sz w:val="20"/>
                <w:szCs w:val="20"/>
              </w:rPr>
            </w:pPr>
            <w:r w:rsidRPr="00A66431">
              <w:rPr>
                <w:rFonts w:cstheme="minorHAnsi"/>
                <w:sz w:val="20"/>
                <w:szCs w:val="20"/>
              </w:rPr>
              <w:t>Can be reintroduced at Governor discretion where circumstances require it</w:t>
            </w:r>
            <w:r w:rsidR="45F549A0" w:rsidRPr="00A66431">
              <w:rPr>
                <w:rFonts w:cstheme="minorHAnsi"/>
                <w:sz w:val="20"/>
                <w:szCs w:val="20"/>
              </w:rPr>
              <w:t>.</w:t>
            </w:r>
          </w:p>
          <w:p w14:paraId="4985D382" w14:textId="56699AC4" w:rsidR="00A232B4" w:rsidRPr="00A66431" w:rsidRDefault="00984549" w:rsidP="00604A3C">
            <w:pPr>
              <w:pStyle w:val="ListParagraph"/>
              <w:numPr>
                <w:ilvl w:val="0"/>
                <w:numId w:val="1"/>
              </w:numPr>
              <w:rPr>
                <w:rFonts w:cstheme="minorHAnsi"/>
                <w:sz w:val="20"/>
                <w:szCs w:val="20"/>
              </w:rPr>
            </w:pPr>
            <w:r w:rsidRPr="00A66431">
              <w:rPr>
                <w:rFonts w:cstheme="minorHAnsi"/>
                <w:sz w:val="20"/>
                <w:szCs w:val="20"/>
              </w:rPr>
              <w:t>Phones can be</w:t>
            </w:r>
            <w:r w:rsidR="00A232B4" w:rsidRPr="00A66431">
              <w:rPr>
                <w:rFonts w:cstheme="minorHAnsi"/>
                <w:sz w:val="20"/>
                <w:szCs w:val="20"/>
              </w:rPr>
              <w:t xml:space="preserve"> sent back to establishment</w:t>
            </w:r>
            <w:r w:rsidR="3B5164F9" w:rsidRPr="00A66431">
              <w:rPr>
                <w:rFonts w:cstheme="minorHAnsi"/>
                <w:sz w:val="20"/>
                <w:szCs w:val="20"/>
              </w:rPr>
              <w:t>s</w:t>
            </w:r>
            <w:r w:rsidR="00A232B4" w:rsidRPr="00A66431">
              <w:rPr>
                <w:rFonts w:cstheme="minorHAnsi"/>
                <w:sz w:val="20"/>
                <w:szCs w:val="20"/>
              </w:rPr>
              <w:t xml:space="preserve"> on request and ready for use within 5 working days.</w:t>
            </w:r>
          </w:p>
        </w:tc>
        <w:bookmarkStart w:id="0" w:name="_Hlk79133140"/>
        <w:tc>
          <w:tcPr>
            <w:tcW w:w="4592" w:type="dxa"/>
          </w:tcPr>
          <w:p w14:paraId="2E100A27" w14:textId="77777777" w:rsidR="00A232B4" w:rsidRPr="00A66431" w:rsidRDefault="00A232B4" w:rsidP="00604A3C">
            <w:pPr>
              <w:pStyle w:val="ListParagraph"/>
              <w:ind w:left="0"/>
              <w:rPr>
                <w:rFonts w:cstheme="minorHAnsi"/>
                <w:sz w:val="20"/>
                <w:szCs w:val="20"/>
              </w:rPr>
            </w:pPr>
            <w:r w:rsidRPr="00A66431">
              <w:rPr>
                <w:rFonts w:cstheme="minorHAnsi"/>
                <w:sz w:val="20"/>
                <w:szCs w:val="20"/>
              </w:rPr>
              <w:fldChar w:fldCharType="begin"/>
            </w:r>
            <w:r w:rsidRPr="00A66431">
              <w:rPr>
                <w:rFonts w:cstheme="minorHAnsi"/>
                <w:sz w:val="20"/>
                <w:szCs w:val="20"/>
              </w:rPr>
              <w:instrText xml:space="preserve"> HYPERLINK "mailto:mobilepinmonitoring@justice.gov.uk" </w:instrText>
            </w:r>
            <w:r w:rsidRPr="00A66431">
              <w:rPr>
                <w:rFonts w:cstheme="minorHAnsi"/>
                <w:sz w:val="20"/>
                <w:szCs w:val="20"/>
              </w:rPr>
              <w:fldChar w:fldCharType="separate"/>
            </w:r>
            <w:r w:rsidRPr="00A66431">
              <w:rPr>
                <w:rStyle w:val="Hyperlink"/>
                <w:rFonts w:cstheme="minorHAnsi"/>
                <w:sz w:val="20"/>
                <w:szCs w:val="20"/>
              </w:rPr>
              <w:t>mobilepinmonitoring@justice.gov.uk</w:t>
            </w:r>
            <w:r w:rsidRPr="00A66431">
              <w:rPr>
                <w:rFonts w:cstheme="minorHAnsi"/>
                <w:sz w:val="20"/>
                <w:szCs w:val="20"/>
              </w:rPr>
              <w:fldChar w:fldCharType="end"/>
            </w:r>
            <w:bookmarkEnd w:id="0"/>
          </w:p>
        </w:tc>
      </w:tr>
    </w:tbl>
    <w:p w14:paraId="437CED72" w14:textId="77777777" w:rsidR="00A232B4" w:rsidRDefault="00A232B4"/>
    <w:sectPr w:rsidR="00A232B4" w:rsidSect="00A232B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FCF62" w14:textId="77777777" w:rsidR="0040321A" w:rsidRDefault="0040321A" w:rsidP="000D29D7">
      <w:pPr>
        <w:spacing w:after="0" w:line="240" w:lineRule="auto"/>
      </w:pPr>
      <w:r>
        <w:separator/>
      </w:r>
    </w:p>
  </w:endnote>
  <w:endnote w:type="continuationSeparator" w:id="0">
    <w:p w14:paraId="459B2179" w14:textId="77777777" w:rsidR="0040321A" w:rsidRDefault="0040321A" w:rsidP="000D29D7">
      <w:pPr>
        <w:spacing w:after="0" w:line="240" w:lineRule="auto"/>
      </w:pPr>
      <w:r>
        <w:continuationSeparator/>
      </w:r>
    </w:p>
  </w:endnote>
  <w:endnote w:type="continuationNotice" w:id="1">
    <w:p w14:paraId="59CA7372" w14:textId="77777777" w:rsidR="0040321A" w:rsidRDefault="00403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0EEF9" w14:textId="77777777" w:rsidR="0040321A" w:rsidRDefault="0040321A" w:rsidP="000D29D7">
      <w:pPr>
        <w:spacing w:after="0" w:line="240" w:lineRule="auto"/>
      </w:pPr>
      <w:r>
        <w:separator/>
      </w:r>
    </w:p>
  </w:footnote>
  <w:footnote w:type="continuationSeparator" w:id="0">
    <w:p w14:paraId="7377D2B1" w14:textId="77777777" w:rsidR="0040321A" w:rsidRDefault="0040321A" w:rsidP="000D29D7">
      <w:pPr>
        <w:spacing w:after="0" w:line="240" w:lineRule="auto"/>
      </w:pPr>
      <w:r>
        <w:continuationSeparator/>
      </w:r>
    </w:p>
  </w:footnote>
  <w:footnote w:type="continuationNotice" w:id="1">
    <w:p w14:paraId="22920138" w14:textId="77777777" w:rsidR="0040321A" w:rsidRDefault="004032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6271D"/>
    <w:multiLevelType w:val="hybridMultilevel"/>
    <w:tmpl w:val="73F61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C27958"/>
    <w:multiLevelType w:val="hybridMultilevel"/>
    <w:tmpl w:val="CF7AF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D47F8E"/>
    <w:multiLevelType w:val="hybridMultilevel"/>
    <w:tmpl w:val="7602AB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EC3A1E"/>
    <w:multiLevelType w:val="hybridMultilevel"/>
    <w:tmpl w:val="A0766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6824C5"/>
    <w:multiLevelType w:val="hybridMultilevel"/>
    <w:tmpl w:val="A88EC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B4"/>
    <w:rsid w:val="00007E59"/>
    <w:rsid w:val="0001146F"/>
    <w:rsid w:val="00056B4F"/>
    <w:rsid w:val="000729D9"/>
    <w:rsid w:val="00082CD2"/>
    <w:rsid w:val="00085F6D"/>
    <w:rsid w:val="00092D41"/>
    <w:rsid w:val="000A0096"/>
    <w:rsid w:val="000A112C"/>
    <w:rsid w:val="000A1A52"/>
    <w:rsid w:val="000D29D7"/>
    <w:rsid w:val="000F44D2"/>
    <w:rsid w:val="00103550"/>
    <w:rsid w:val="001102B4"/>
    <w:rsid w:val="0011059B"/>
    <w:rsid w:val="00117EB3"/>
    <w:rsid w:val="0017047A"/>
    <w:rsid w:val="00175B63"/>
    <w:rsid w:val="00181E59"/>
    <w:rsid w:val="0019615D"/>
    <w:rsid w:val="001A21B8"/>
    <w:rsid w:val="001A3397"/>
    <w:rsid w:val="001E3320"/>
    <w:rsid w:val="001F1F34"/>
    <w:rsid w:val="002025D9"/>
    <w:rsid w:val="00223061"/>
    <w:rsid w:val="00226502"/>
    <w:rsid w:val="002320CC"/>
    <w:rsid w:val="0023365B"/>
    <w:rsid w:val="00245249"/>
    <w:rsid w:val="00270BFC"/>
    <w:rsid w:val="00286400"/>
    <w:rsid w:val="002A0F27"/>
    <w:rsid w:val="002C13A6"/>
    <w:rsid w:val="0030226C"/>
    <w:rsid w:val="00330E4C"/>
    <w:rsid w:val="00332112"/>
    <w:rsid w:val="0033406B"/>
    <w:rsid w:val="003358AC"/>
    <w:rsid w:val="0033708F"/>
    <w:rsid w:val="003428D6"/>
    <w:rsid w:val="00344794"/>
    <w:rsid w:val="0037775B"/>
    <w:rsid w:val="0038510A"/>
    <w:rsid w:val="00386580"/>
    <w:rsid w:val="003904BA"/>
    <w:rsid w:val="003908E2"/>
    <w:rsid w:val="003C27A4"/>
    <w:rsid w:val="003C2D59"/>
    <w:rsid w:val="003C7B34"/>
    <w:rsid w:val="003E5B57"/>
    <w:rsid w:val="003F23E4"/>
    <w:rsid w:val="00402A60"/>
    <w:rsid w:val="0040321A"/>
    <w:rsid w:val="0042545F"/>
    <w:rsid w:val="004263F6"/>
    <w:rsid w:val="004344B5"/>
    <w:rsid w:val="00456832"/>
    <w:rsid w:val="004831B8"/>
    <w:rsid w:val="00484C12"/>
    <w:rsid w:val="00487B5E"/>
    <w:rsid w:val="00491F40"/>
    <w:rsid w:val="0049411B"/>
    <w:rsid w:val="004B1061"/>
    <w:rsid w:val="004B1F5F"/>
    <w:rsid w:val="004C0BB9"/>
    <w:rsid w:val="004D47A4"/>
    <w:rsid w:val="0050204A"/>
    <w:rsid w:val="00504D66"/>
    <w:rsid w:val="00510C35"/>
    <w:rsid w:val="00512CFF"/>
    <w:rsid w:val="0052343D"/>
    <w:rsid w:val="005368EE"/>
    <w:rsid w:val="0054517D"/>
    <w:rsid w:val="00556205"/>
    <w:rsid w:val="00570751"/>
    <w:rsid w:val="005725B8"/>
    <w:rsid w:val="00572A3C"/>
    <w:rsid w:val="00576A77"/>
    <w:rsid w:val="00593249"/>
    <w:rsid w:val="005B5705"/>
    <w:rsid w:val="005F0147"/>
    <w:rsid w:val="005F0DFE"/>
    <w:rsid w:val="00604A3C"/>
    <w:rsid w:val="0060504B"/>
    <w:rsid w:val="00646024"/>
    <w:rsid w:val="00654BB2"/>
    <w:rsid w:val="00664B9E"/>
    <w:rsid w:val="00667664"/>
    <w:rsid w:val="00673728"/>
    <w:rsid w:val="00693D97"/>
    <w:rsid w:val="006A768D"/>
    <w:rsid w:val="006B173A"/>
    <w:rsid w:val="006C05F1"/>
    <w:rsid w:val="006C22BE"/>
    <w:rsid w:val="006F7626"/>
    <w:rsid w:val="00714D1E"/>
    <w:rsid w:val="007322B9"/>
    <w:rsid w:val="0073450B"/>
    <w:rsid w:val="00746266"/>
    <w:rsid w:val="00792072"/>
    <w:rsid w:val="007954DB"/>
    <w:rsid w:val="007B3039"/>
    <w:rsid w:val="007B64DB"/>
    <w:rsid w:val="007D2FA8"/>
    <w:rsid w:val="007F27CC"/>
    <w:rsid w:val="007F4502"/>
    <w:rsid w:val="00801E76"/>
    <w:rsid w:val="00802AA7"/>
    <w:rsid w:val="00805499"/>
    <w:rsid w:val="00806C20"/>
    <w:rsid w:val="00812527"/>
    <w:rsid w:val="00817B0B"/>
    <w:rsid w:val="00817CC0"/>
    <w:rsid w:val="008259BA"/>
    <w:rsid w:val="00857600"/>
    <w:rsid w:val="00871318"/>
    <w:rsid w:val="00871908"/>
    <w:rsid w:val="0087682F"/>
    <w:rsid w:val="00881EB1"/>
    <w:rsid w:val="00887C37"/>
    <w:rsid w:val="008902E6"/>
    <w:rsid w:val="008B3F95"/>
    <w:rsid w:val="008C1A51"/>
    <w:rsid w:val="008C4FBA"/>
    <w:rsid w:val="008C5D96"/>
    <w:rsid w:val="008E2A09"/>
    <w:rsid w:val="008F49B7"/>
    <w:rsid w:val="008F6B35"/>
    <w:rsid w:val="00905F88"/>
    <w:rsid w:val="00907C77"/>
    <w:rsid w:val="00984549"/>
    <w:rsid w:val="00997CE8"/>
    <w:rsid w:val="009B0602"/>
    <w:rsid w:val="009F20F6"/>
    <w:rsid w:val="00A0150E"/>
    <w:rsid w:val="00A232B4"/>
    <w:rsid w:val="00A27E71"/>
    <w:rsid w:val="00A34AE1"/>
    <w:rsid w:val="00A42873"/>
    <w:rsid w:val="00A46EA0"/>
    <w:rsid w:val="00A5217B"/>
    <w:rsid w:val="00A55847"/>
    <w:rsid w:val="00A66431"/>
    <w:rsid w:val="00A748B7"/>
    <w:rsid w:val="00AA41F5"/>
    <w:rsid w:val="00AB0124"/>
    <w:rsid w:val="00AB57E5"/>
    <w:rsid w:val="00AC69F3"/>
    <w:rsid w:val="00AD151C"/>
    <w:rsid w:val="00AE7FF1"/>
    <w:rsid w:val="00B22695"/>
    <w:rsid w:val="00B30C44"/>
    <w:rsid w:val="00B32027"/>
    <w:rsid w:val="00B40C20"/>
    <w:rsid w:val="00B62608"/>
    <w:rsid w:val="00B646A1"/>
    <w:rsid w:val="00B70A50"/>
    <w:rsid w:val="00B70BA2"/>
    <w:rsid w:val="00B8267F"/>
    <w:rsid w:val="00BA14CF"/>
    <w:rsid w:val="00BC0C7E"/>
    <w:rsid w:val="00BD5673"/>
    <w:rsid w:val="00BE1E55"/>
    <w:rsid w:val="00BE3FBC"/>
    <w:rsid w:val="00BF1AA7"/>
    <w:rsid w:val="00C13B06"/>
    <w:rsid w:val="00C23045"/>
    <w:rsid w:val="00C34A77"/>
    <w:rsid w:val="00C47B92"/>
    <w:rsid w:val="00C50C4E"/>
    <w:rsid w:val="00C56017"/>
    <w:rsid w:val="00C67549"/>
    <w:rsid w:val="00C74484"/>
    <w:rsid w:val="00C74D28"/>
    <w:rsid w:val="00C838CF"/>
    <w:rsid w:val="00C84FD5"/>
    <w:rsid w:val="00C921B7"/>
    <w:rsid w:val="00CB6168"/>
    <w:rsid w:val="00CC3065"/>
    <w:rsid w:val="00CD64B8"/>
    <w:rsid w:val="00CE54A3"/>
    <w:rsid w:val="00D278F9"/>
    <w:rsid w:val="00D37427"/>
    <w:rsid w:val="00D4124E"/>
    <w:rsid w:val="00D622DF"/>
    <w:rsid w:val="00D642E0"/>
    <w:rsid w:val="00D66EB9"/>
    <w:rsid w:val="00DA041D"/>
    <w:rsid w:val="00DD7FBD"/>
    <w:rsid w:val="00E00E88"/>
    <w:rsid w:val="00E064B6"/>
    <w:rsid w:val="00E141C2"/>
    <w:rsid w:val="00E14B2A"/>
    <w:rsid w:val="00E45B5C"/>
    <w:rsid w:val="00E60658"/>
    <w:rsid w:val="00E64634"/>
    <w:rsid w:val="00E76B3C"/>
    <w:rsid w:val="00E838D5"/>
    <w:rsid w:val="00E84AE7"/>
    <w:rsid w:val="00E8571C"/>
    <w:rsid w:val="00EB26C8"/>
    <w:rsid w:val="00EE5836"/>
    <w:rsid w:val="00EF2011"/>
    <w:rsid w:val="00F01DD0"/>
    <w:rsid w:val="00F126F8"/>
    <w:rsid w:val="00F12FCD"/>
    <w:rsid w:val="00F30875"/>
    <w:rsid w:val="00F31DBC"/>
    <w:rsid w:val="00F335DC"/>
    <w:rsid w:val="00F41F28"/>
    <w:rsid w:val="00F508CB"/>
    <w:rsid w:val="00F609C8"/>
    <w:rsid w:val="00F626C5"/>
    <w:rsid w:val="00F64B31"/>
    <w:rsid w:val="00F71725"/>
    <w:rsid w:val="00F905AD"/>
    <w:rsid w:val="00F96433"/>
    <w:rsid w:val="00FA1E1A"/>
    <w:rsid w:val="00FA4BC0"/>
    <w:rsid w:val="00FC3998"/>
    <w:rsid w:val="00FE346F"/>
    <w:rsid w:val="00FE463B"/>
    <w:rsid w:val="00FE62D9"/>
    <w:rsid w:val="3B5164F9"/>
    <w:rsid w:val="45F549A0"/>
    <w:rsid w:val="47BC8688"/>
    <w:rsid w:val="55C7186C"/>
    <w:rsid w:val="619F47D8"/>
    <w:rsid w:val="6A4675DA"/>
    <w:rsid w:val="6E634F61"/>
    <w:rsid w:val="709F70C6"/>
    <w:rsid w:val="7F4B3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771F"/>
  <w15:chartTrackingRefBased/>
  <w15:docId w15:val="{4D5341B9-B8C0-4A4E-A982-85180993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2B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232B4"/>
    <w:pPr>
      <w:ind w:left="720"/>
      <w:contextualSpacing/>
    </w:pPr>
  </w:style>
  <w:style w:type="character" w:styleId="Hyperlink">
    <w:name w:val="Hyperlink"/>
    <w:basedOn w:val="DefaultParagraphFont"/>
    <w:uiPriority w:val="99"/>
    <w:unhideWhenUsed/>
    <w:rsid w:val="00A232B4"/>
    <w:rPr>
      <w:color w:val="0563C1"/>
      <w:u w:val="single"/>
    </w:rPr>
  </w:style>
  <w:style w:type="character" w:styleId="CommentReference">
    <w:name w:val="annotation reference"/>
    <w:basedOn w:val="DefaultParagraphFont"/>
    <w:uiPriority w:val="99"/>
    <w:semiHidden/>
    <w:unhideWhenUsed/>
    <w:rsid w:val="00984549"/>
    <w:rPr>
      <w:sz w:val="16"/>
      <w:szCs w:val="16"/>
    </w:rPr>
  </w:style>
  <w:style w:type="paragraph" w:styleId="CommentText">
    <w:name w:val="annotation text"/>
    <w:basedOn w:val="Normal"/>
    <w:link w:val="CommentTextChar"/>
    <w:uiPriority w:val="99"/>
    <w:semiHidden/>
    <w:unhideWhenUsed/>
    <w:rsid w:val="00984549"/>
    <w:pPr>
      <w:spacing w:line="240" w:lineRule="auto"/>
    </w:pPr>
    <w:rPr>
      <w:sz w:val="20"/>
      <w:szCs w:val="20"/>
    </w:rPr>
  </w:style>
  <w:style w:type="character" w:customStyle="1" w:styleId="CommentTextChar">
    <w:name w:val="Comment Text Char"/>
    <w:basedOn w:val="DefaultParagraphFont"/>
    <w:link w:val="CommentText"/>
    <w:uiPriority w:val="99"/>
    <w:semiHidden/>
    <w:rsid w:val="00984549"/>
    <w:rPr>
      <w:sz w:val="20"/>
      <w:szCs w:val="20"/>
    </w:rPr>
  </w:style>
  <w:style w:type="paragraph" w:styleId="CommentSubject">
    <w:name w:val="annotation subject"/>
    <w:basedOn w:val="CommentText"/>
    <w:next w:val="CommentText"/>
    <w:link w:val="CommentSubjectChar"/>
    <w:uiPriority w:val="99"/>
    <w:semiHidden/>
    <w:unhideWhenUsed/>
    <w:rsid w:val="00984549"/>
    <w:rPr>
      <w:b/>
      <w:bCs/>
    </w:rPr>
  </w:style>
  <w:style w:type="character" w:customStyle="1" w:styleId="CommentSubjectChar">
    <w:name w:val="Comment Subject Char"/>
    <w:basedOn w:val="CommentTextChar"/>
    <w:link w:val="CommentSubject"/>
    <w:uiPriority w:val="99"/>
    <w:semiHidden/>
    <w:rsid w:val="00984549"/>
    <w:rPr>
      <w:b/>
      <w:bCs/>
      <w:sz w:val="20"/>
      <w:szCs w:val="20"/>
    </w:rPr>
  </w:style>
  <w:style w:type="paragraph" w:styleId="BalloonText">
    <w:name w:val="Balloon Text"/>
    <w:basedOn w:val="Normal"/>
    <w:link w:val="BalloonTextChar"/>
    <w:uiPriority w:val="99"/>
    <w:semiHidden/>
    <w:unhideWhenUsed/>
    <w:rsid w:val="0098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549"/>
    <w:rPr>
      <w:rFonts w:ascii="Segoe UI" w:hAnsi="Segoe UI" w:cs="Segoe UI"/>
      <w:sz w:val="18"/>
      <w:szCs w:val="18"/>
    </w:rPr>
  </w:style>
  <w:style w:type="character" w:styleId="UnresolvedMention">
    <w:name w:val="Unresolved Mention"/>
    <w:basedOn w:val="DefaultParagraphFont"/>
    <w:uiPriority w:val="99"/>
    <w:semiHidden/>
    <w:unhideWhenUsed/>
    <w:rsid w:val="00007E59"/>
    <w:rPr>
      <w:color w:val="605E5C"/>
      <w:shd w:val="clear" w:color="auto" w:fill="E1DFDD"/>
    </w:rPr>
  </w:style>
  <w:style w:type="paragraph" w:styleId="Header">
    <w:name w:val="header"/>
    <w:basedOn w:val="Normal"/>
    <w:link w:val="HeaderChar"/>
    <w:uiPriority w:val="99"/>
    <w:unhideWhenUsed/>
    <w:rsid w:val="000D2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9D7"/>
  </w:style>
  <w:style w:type="paragraph" w:styleId="Footer">
    <w:name w:val="footer"/>
    <w:basedOn w:val="Normal"/>
    <w:link w:val="FooterChar"/>
    <w:uiPriority w:val="99"/>
    <w:unhideWhenUsed/>
    <w:rsid w:val="000D2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deocalls@digital.justice.gov.uk" TargetMode="External"/><Relationship Id="rId18" Type="http://schemas.openxmlformats.org/officeDocument/2006/relationships/hyperlink" Target="mailto:Operational_policy1@justice.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VID19.RegimesOpsGuidance1@justice.gov.uk" TargetMode="External"/><Relationship Id="rId17" Type="http://schemas.openxmlformats.org/officeDocument/2006/relationships/hyperlink" Target="mailto:Operational_policy1@justice.gov.uk" TargetMode="External"/><Relationship Id="rId2" Type="http://schemas.openxmlformats.org/officeDocument/2006/relationships/customXml" Target="../customXml/item2.xml"/><Relationship Id="rId16" Type="http://schemas.openxmlformats.org/officeDocument/2006/relationships/hyperlink" Target="https://www.gov.uk/government/publications/incentives-policy-framework" TargetMode="External"/><Relationship Id="rId20" Type="http://schemas.openxmlformats.org/officeDocument/2006/relationships/hyperlink" Target="mailto:COVID19.RegimesOpsGuidance1@just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RegimesOpsGuidance1@justice.gov.uk" TargetMode="External"/><Relationship Id="rId5" Type="http://schemas.openxmlformats.org/officeDocument/2006/relationships/numbering" Target="numbering.xml"/><Relationship Id="rId15" Type="http://schemas.openxmlformats.org/officeDocument/2006/relationships/hyperlink" Target="mailto:Operational_policy1@justice.gov.uk" TargetMode="External"/><Relationship Id="rId10" Type="http://schemas.openxmlformats.org/officeDocument/2006/relationships/endnotes" Target="endnotes.xml"/><Relationship Id="rId19" Type="http://schemas.openxmlformats.org/officeDocument/2006/relationships/hyperlink" Target="https://www.gov.uk/government/publications/incentives-policy-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crisci@justic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D8391F16F48C40A437DE8AF5458B29" ma:contentTypeVersion="16" ma:contentTypeDescription="Create a new document." ma:contentTypeScope="" ma:versionID="923fb23f630cd010f9107e97b11b2355">
  <xsd:schema xmlns:xsd="http://www.w3.org/2001/XMLSchema" xmlns:xs="http://www.w3.org/2001/XMLSchema" xmlns:p="http://schemas.microsoft.com/office/2006/metadata/properties" xmlns:ns2="124173a7-9bd2-47c9-a215-82e586799cf2" xmlns:ns3="563fc604-81a4-48b2-a89d-ec49cc0f1a5a" targetNamespace="http://schemas.microsoft.com/office/2006/metadata/properties" ma:root="true" ma:fieldsID="3df0ce4a3e15de9c43b733d96a4dc1ad" ns2:_="" ns3:_="">
    <xsd:import namespace="124173a7-9bd2-47c9-a215-82e586799cf2"/>
    <xsd:import namespace="563fc604-81a4-48b2-a89d-ec49cc0f1a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_x0020_Created" minOccurs="0"/>
                <xsd:element ref="ns2:adnj" minOccurs="0"/>
                <xsd:element ref="ns2:MediaServiceAutoTags" minOccurs="0"/>
                <xsd:element ref="ns2:MediaServiceOCR" minOccurs="0"/>
                <xsd:element ref="ns2:MediaServiceGenerationTime" minOccurs="0"/>
                <xsd:element ref="ns2:MediaServiceEventHashCode" minOccurs="0"/>
                <xsd:element ref="ns2:Context" minOccurs="0"/>
                <xsd:element ref="ns2:DecisionMad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173a7-9bd2-47c9-a215-82e586799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_x0020_Created" ma:index="14" nillable="true" ma:displayName="Date_Created" ma:format="DateOnly" ma:internalName="Date_x0020_Created">
      <xsd:simpleType>
        <xsd:restriction base="dms:DateTime"/>
      </xsd:simpleType>
    </xsd:element>
    <xsd:element name="adnj" ma:index="15" nillable="true" ma:displayName="Date and time" ma:internalName="adnj">
      <xsd:simpleType>
        <xsd:restriction base="dms:DateTim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ontext" ma:index="20" nillable="true" ma:displayName="Context" ma:description="Who the ask came from. Any decisions. Etc." ma:format="Dropdown" ma:internalName="Context">
      <xsd:simpleType>
        <xsd:restriction base="dms:Note">
          <xsd:maxLength value="255"/>
        </xsd:restriction>
      </xsd:simpleType>
    </xsd:element>
    <xsd:element name="DecisionMade_x003f_" ma:index="21" nillable="true" ma:displayName="Decision Made?" ma:default="1" ma:format="Dropdown" ma:internalName="DecisionMad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3fc604-81a4-48b2-a89d-ec49cc0f1a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cisionMade_x003f_ xmlns="124173a7-9bd2-47c9-a215-82e586799cf2">true</DecisionMade_x003f_>
    <Date_x0020_Created xmlns="124173a7-9bd2-47c9-a215-82e586799cf2" xsi:nil="true"/>
    <Context xmlns="124173a7-9bd2-47c9-a215-82e586799cf2" xsi:nil="true"/>
    <adnj xmlns="124173a7-9bd2-47c9-a215-82e586799cf2" xsi:nil="true"/>
  </documentManagement>
</p:properties>
</file>

<file path=customXml/itemProps1.xml><?xml version="1.0" encoding="utf-8"?>
<ds:datastoreItem xmlns:ds="http://schemas.openxmlformats.org/officeDocument/2006/customXml" ds:itemID="{5EE49D50-D6B5-4A57-8B0B-DF8F713A211F}">
  <ds:schemaRefs>
    <ds:schemaRef ds:uri="http://schemas.microsoft.com/sharepoint/v3/contenttype/forms"/>
  </ds:schemaRefs>
</ds:datastoreItem>
</file>

<file path=customXml/itemProps2.xml><?xml version="1.0" encoding="utf-8"?>
<ds:datastoreItem xmlns:ds="http://schemas.openxmlformats.org/officeDocument/2006/customXml" ds:itemID="{55F2A94A-656C-49DB-91CF-0D94B9301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173a7-9bd2-47c9-a215-82e586799cf2"/>
    <ds:schemaRef ds:uri="563fc604-81a4-48b2-a89d-ec49cc0f1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8A93F-98D8-4F21-BD9A-CE4681104865}">
  <ds:schemaRefs>
    <ds:schemaRef ds:uri="http://schemas.openxmlformats.org/officeDocument/2006/bibliography"/>
  </ds:schemaRefs>
</ds:datastoreItem>
</file>

<file path=customXml/itemProps4.xml><?xml version="1.0" encoding="utf-8"?>
<ds:datastoreItem xmlns:ds="http://schemas.openxmlformats.org/officeDocument/2006/customXml" ds:itemID="{B70AB8B2-CCEF-4CC0-8158-99F9236A6AF1}">
  <ds:schemaRefs>
    <ds:schemaRef ds:uri="http://schemas.microsoft.com/office/2006/metadata/properties"/>
    <ds:schemaRef ds:uri="http://schemas.microsoft.com/office/infopath/2007/PartnerControls"/>
    <ds:schemaRef ds:uri="124173a7-9bd2-47c9-a215-82e586799cf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Livsey, Rachel</dc:creator>
  <cp:keywords/>
  <dc:description/>
  <cp:lastModifiedBy>Livsey, Rachel</cp:lastModifiedBy>
  <cp:revision>2</cp:revision>
  <dcterms:created xsi:type="dcterms:W3CDTF">2021-08-19T14:15:00Z</dcterms:created>
  <dcterms:modified xsi:type="dcterms:W3CDTF">2021-08-19T14:15:00Z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0x01010062D8391F16F48C40A437DE8AF5458B29</vt:lpwstr>
  </property>
</Properties>
</file>