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D8D593" w14:textId="0957CA7C" w:rsidR="00B56CB9" w:rsidRPr="00F754F2" w:rsidRDefault="00C512EF" w:rsidP="00661901">
      <w:pPr>
        <w:tabs>
          <w:tab w:val="left" w:pos="426"/>
        </w:tabs>
        <w:jc w:val="both"/>
        <w:rPr>
          <w:rFonts w:cstheme="minorHAnsi"/>
          <w:b/>
          <w:bCs/>
        </w:rPr>
      </w:pPr>
      <w:r w:rsidRPr="00F754F2">
        <w:rPr>
          <w:rFonts w:cstheme="minorHAnsi"/>
          <w:b/>
          <w:bCs/>
        </w:rPr>
        <w:t>Gold Brief – Stage 1 Model, Mechanics for Progression and SOP</w:t>
      </w:r>
      <w:r w:rsidR="00555FFF">
        <w:rPr>
          <w:rFonts w:cstheme="minorHAnsi"/>
          <w:b/>
          <w:bCs/>
        </w:rPr>
        <w:t xml:space="preserve"> </w:t>
      </w:r>
      <w:r w:rsidR="00FC4281">
        <w:rPr>
          <w:rFonts w:cstheme="minorHAnsi"/>
          <w:b/>
          <w:bCs/>
        </w:rPr>
        <w:t>(published</w:t>
      </w:r>
      <w:r w:rsidR="00555FFF">
        <w:rPr>
          <w:rFonts w:cstheme="minorHAnsi"/>
          <w:b/>
          <w:bCs/>
        </w:rPr>
        <w:t xml:space="preserve"> 2</w:t>
      </w:r>
      <w:r w:rsidR="00F90111">
        <w:rPr>
          <w:rFonts w:cstheme="minorHAnsi"/>
          <w:b/>
          <w:bCs/>
        </w:rPr>
        <w:t>9</w:t>
      </w:r>
      <w:r w:rsidR="00555FFF">
        <w:rPr>
          <w:rFonts w:cstheme="minorHAnsi"/>
          <w:b/>
          <w:bCs/>
        </w:rPr>
        <w:t>.07.21)</w:t>
      </w:r>
    </w:p>
    <w:p w14:paraId="67863042" w14:textId="77777777" w:rsidR="00C512EF" w:rsidRPr="00F754F2" w:rsidRDefault="00C512EF" w:rsidP="00661901">
      <w:pPr>
        <w:jc w:val="both"/>
        <w:rPr>
          <w:rFonts w:cstheme="minorHAnsi"/>
          <w:b/>
          <w:bCs/>
          <w:u w:val="single"/>
        </w:rPr>
      </w:pPr>
      <w:r w:rsidRPr="00F754F2">
        <w:rPr>
          <w:rFonts w:cstheme="minorHAnsi"/>
          <w:b/>
          <w:bCs/>
          <w:u w:val="single"/>
        </w:rPr>
        <w:t>Purpose</w:t>
      </w:r>
    </w:p>
    <w:p w14:paraId="21F6353C" w14:textId="1D187962" w:rsidR="003646D6" w:rsidRPr="00F754F2" w:rsidRDefault="003646D6" w:rsidP="00661901">
      <w:pPr>
        <w:jc w:val="both"/>
        <w:rPr>
          <w:rFonts w:cstheme="minorHAnsi"/>
        </w:rPr>
      </w:pPr>
      <w:r w:rsidRPr="00F754F2">
        <w:rPr>
          <w:rFonts w:cstheme="minorHAnsi"/>
        </w:rPr>
        <w:t>Since the Stage 2 Gateway was opened in May, we have see</w:t>
      </w:r>
      <w:r w:rsidR="004638BF" w:rsidRPr="00F754F2">
        <w:rPr>
          <w:rFonts w:cstheme="minorHAnsi"/>
        </w:rPr>
        <w:t>n</w:t>
      </w:r>
      <w:r w:rsidR="006E7186">
        <w:rPr>
          <w:rFonts w:cstheme="minorHAnsi"/>
        </w:rPr>
        <w:t xml:space="preserve"> a gradual progression</w:t>
      </w:r>
      <w:r w:rsidR="00921795" w:rsidRPr="00F754F2">
        <w:rPr>
          <w:rFonts w:cstheme="minorHAnsi"/>
        </w:rPr>
        <w:t xml:space="preserve"> </w:t>
      </w:r>
      <w:r w:rsidR="006E7186">
        <w:rPr>
          <w:rFonts w:cstheme="minorHAnsi"/>
        </w:rPr>
        <w:t xml:space="preserve">of sites to </w:t>
      </w:r>
      <w:r w:rsidRPr="00F754F2">
        <w:rPr>
          <w:rFonts w:cstheme="minorHAnsi"/>
        </w:rPr>
        <w:t xml:space="preserve">Stage 2 of the framework, with </w:t>
      </w:r>
      <w:r w:rsidR="006E7186">
        <w:rPr>
          <w:rFonts w:cstheme="minorHAnsi"/>
        </w:rPr>
        <w:t xml:space="preserve">over 30 sites now delivering </w:t>
      </w:r>
      <w:r w:rsidR="00EF7EFB">
        <w:rPr>
          <w:rFonts w:cstheme="minorHAnsi"/>
        </w:rPr>
        <w:t>S</w:t>
      </w:r>
      <w:r w:rsidR="006E7186">
        <w:rPr>
          <w:rFonts w:cstheme="minorHAnsi"/>
        </w:rPr>
        <w:t xml:space="preserve">tage 2 regimes and </w:t>
      </w:r>
      <w:r w:rsidR="00555FFF" w:rsidRPr="00F754F2">
        <w:rPr>
          <w:rFonts w:cstheme="minorHAnsi"/>
        </w:rPr>
        <w:t>numerous others</w:t>
      </w:r>
      <w:r w:rsidRPr="00F754F2">
        <w:rPr>
          <w:rFonts w:cstheme="minorHAnsi"/>
        </w:rPr>
        <w:t xml:space="preserve"> planning for how they can safely progress in the coming weeks. </w:t>
      </w:r>
    </w:p>
    <w:p w14:paraId="7D650FCA" w14:textId="0349BA4A" w:rsidR="00473961" w:rsidRPr="00F754F2" w:rsidRDefault="00473961" w:rsidP="00661901">
      <w:pPr>
        <w:jc w:val="both"/>
        <w:rPr>
          <w:rFonts w:cstheme="minorHAnsi"/>
        </w:rPr>
      </w:pPr>
      <w:r w:rsidRPr="00F754F2">
        <w:rPr>
          <w:rFonts w:cstheme="minorHAnsi"/>
        </w:rPr>
        <w:t xml:space="preserve">The purpose of this briefing is to share the Stage 1 model, </w:t>
      </w:r>
      <w:r w:rsidR="006E7186">
        <w:rPr>
          <w:rFonts w:cstheme="minorHAnsi"/>
        </w:rPr>
        <w:t xml:space="preserve">the </w:t>
      </w:r>
      <w:r w:rsidRPr="00F754F2">
        <w:rPr>
          <w:rFonts w:cstheme="minorHAnsi"/>
        </w:rPr>
        <w:t>progression mechanics and supporting SOP ahead of the Gateway open</w:t>
      </w:r>
      <w:r w:rsidR="006E7186">
        <w:rPr>
          <w:rFonts w:cstheme="minorHAnsi"/>
        </w:rPr>
        <w:t>ing</w:t>
      </w:r>
      <w:r w:rsidRPr="00F754F2">
        <w:rPr>
          <w:rFonts w:cstheme="minorHAnsi"/>
        </w:rPr>
        <w:t xml:space="preserve"> </w:t>
      </w:r>
      <w:r w:rsidR="006E7186">
        <w:rPr>
          <w:rFonts w:cstheme="minorHAnsi"/>
        </w:rPr>
        <w:t>so</w:t>
      </w:r>
      <w:r w:rsidR="006E7186" w:rsidRPr="00F754F2">
        <w:rPr>
          <w:rFonts w:cstheme="minorHAnsi"/>
        </w:rPr>
        <w:t xml:space="preserve"> </w:t>
      </w:r>
      <w:r w:rsidRPr="00F754F2">
        <w:rPr>
          <w:rFonts w:cstheme="minorHAnsi"/>
        </w:rPr>
        <w:t xml:space="preserve">that establishments can commence local planning and preparation. </w:t>
      </w:r>
      <w:r w:rsidR="00CC6047" w:rsidRPr="00F754F2">
        <w:rPr>
          <w:rFonts w:cstheme="minorHAnsi"/>
        </w:rPr>
        <w:t>This has been agreed by the Minister and consulted nationally</w:t>
      </w:r>
      <w:r w:rsidR="00555FFF">
        <w:rPr>
          <w:rFonts w:cstheme="minorHAnsi"/>
        </w:rPr>
        <w:t xml:space="preserve">, including </w:t>
      </w:r>
      <w:r w:rsidR="00CC6047" w:rsidRPr="00F754F2">
        <w:rPr>
          <w:rFonts w:cstheme="minorHAnsi"/>
        </w:rPr>
        <w:t xml:space="preserve">recognised Trade Unions.  </w:t>
      </w:r>
    </w:p>
    <w:p w14:paraId="291BC626" w14:textId="50A8C69F" w:rsidR="00291A2C" w:rsidRPr="00F754F2" w:rsidRDefault="00291A2C" w:rsidP="00661901">
      <w:pPr>
        <w:jc w:val="both"/>
        <w:rPr>
          <w:rFonts w:cstheme="minorHAnsi"/>
        </w:rPr>
      </w:pPr>
      <w:bookmarkStart w:id="0" w:name="_Hlk77926961"/>
      <w:r w:rsidRPr="00F754F2">
        <w:rPr>
          <w:rFonts w:cstheme="minorHAnsi"/>
          <w:b/>
          <w:bCs/>
        </w:rPr>
        <w:t>This briefing does not signal the opening of the Stage 1 Gateway, which currently remains closed.</w:t>
      </w:r>
      <w:r w:rsidRPr="00F754F2">
        <w:rPr>
          <w:rFonts w:cstheme="minorHAnsi"/>
        </w:rPr>
        <w:t xml:space="preserve"> </w:t>
      </w:r>
      <w:r w:rsidR="006E7186">
        <w:rPr>
          <w:rFonts w:cstheme="minorHAnsi"/>
        </w:rPr>
        <w:t xml:space="preserve">However, we anticipate </w:t>
      </w:r>
      <w:r w:rsidR="00EF7EFB">
        <w:rPr>
          <w:rFonts w:cstheme="minorHAnsi"/>
        </w:rPr>
        <w:t xml:space="preserve">that </w:t>
      </w:r>
      <w:r w:rsidR="00D1468E">
        <w:rPr>
          <w:rFonts w:cstheme="minorHAnsi"/>
        </w:rPr>
        <w:t>the M</w:t>
      </w:r>
      <w:r w:rsidR="00EF7EFB" w:rsidRPr="00F754F2">
        <w:rPr>
          <w:rFonts w:cstheme="minorHAnsi"/>
        </w:rPr>
        <w:t>inisterial</w:t>
      </w:r>
      <w:r w:rsidRPr="00F754F2">
        <w:rPr>
          <w:rFonts w:cstheme="minorHAnsi"/>
        </w:rPr>
        <w:t xml:space="preserve"> approval to open the gateway</w:t>
      </w:r>
      <w:r w:rsidR="006E7186">
        <w:rPr>
          <w:rFonts w:cstheme="minorHAnsi"/>
        </w:rPr>
        <w:t xml:space="preserve"> will be announced shortly and we</w:t>
      </w:r>
      <w:r w:rsidRPr="00F754F2">
        <w:rPr>
          <w:rFonts w:cstheme="minorHAnsi"/>
        </w:rPr>
        <w:t xml:space="preserve"> will clearly </w:t>
      </w:r>
      <w:r w:rsidR="00862929" w:rsidRPr="00F754F2">
        <w:rPr>
          <w:rFonts w:cstheme="minorHAnsi"/>
        </w:rPr>
        <w:t>communicate</w:t>
      </w:r>
      <w:r w:rsidR="00862929">
        <w:rPr>
          <w:rFonts w:cstheme="minorHAnsi"/>
        </w:rPr>
        <w:t xml:space="preserve"> </w:t>
      </w:r>
      <w:r w:rsidR="00862929" w:rsidRPr="00F754F2">
        <w:rPr>
          <w:rFonts w:cstheme="minorHAnsi"/>
        </w:rPr>
        <w:t>this</w:t>
      </w:r>
      <w:r w:rsidR="006E7186">
        <w:rPr>
          <w:rFonts w:cstheme="minorHAnsi"/>
        </w:rPr>
        <w:t xml:space="preserve"> </w:t>
      </w:r>
      <w:r w:rsidRPr="00F754F2">
        <w:rPr>
          <w:rFonts w:cstheme="minorHAnsi"/>
        </w:rPr>
        <w:t xml:space="preserve">from the centre. </w:t>
      </w:r>
    </w:p>
    <w:bookmarkEnd w:id="0"/>
    <w:p w14:paraId="298D6CC2" w14:textId="77777777" w:rsidR="00473961" w:rsidRPr="00F754F2" w:rsidRDefault="00473961" w:rsidP="00661901">
      <w:pPr>
        <w:jc w:val="both"/>
        <w:rPr>
          <w:rFonts w:cstheme="minorHAnsi"/>
        </w:rPr>
      </w:pPr>
      <w:r w:rsidRPr="00F754F2">
        <w:rPr>
          <w:rFonts w:cstheme="minorHAnsi"/>
        </w:rPr>
        <w:t>This briefing has 3 key sections:</w:t>
      </w:r>
    </w:p>
    <w:p w14:paraId="319216DC" w14:textId="77777777" w:rsidR="00F578C4" w:rsidRPr="00F754F2" w:rsidRDefault="00F578C4" w:rsidP="00F578C4">
      <w:pPr>
        <w:pStyle w:val="ListParagraph"/>
        <w:numPr>
          <w:ilvl w:val="0"/>
          <w:numId w:val="2"/>
        </w:numPr>
        <w:jc w:val="both"/>
        <w:rPr>
          <w:rFonts w:asciiTheme="minorHAnsi" w:hAnsiTheme="minorHAnsi" w:cstheme="minorHAnsi"/>
        </w:rPr>
      </w:pPr>
      <w:r w:rsidRPr="00F754F2">
        <w:rPr>
          <w:rFonts w:asciiTheme="minorHAnsi" w:hAnsiTheme="minorHAnsi" w:cstheme="minorHAnsi"/>
          <w:bCs/>
        </w:rPr>
        <w:t>Stage 1 Model</w:t>
      </w:r>
    </w:p>
    <w:p w14:paraId="4C83BB3B" w14:textId="10F8DE94" w:rsidR="00473961" w:rsidRPr="00F754F2" w:rsidRDefault="00473961" w:rsidP="00661901">
      <w:pPr>
        <w:pStyle w:val="ListParagraph"/>
        <w:numPr>
          <w:ilvl w:val="0"/>
          <w:numId w:val="2"/>
        </w:numPr>
        <w:jc w:val="both"/>
        <w:rPr>
          <w:rFonts w:asciiTheme="minorHAnsi" w:hAnsiTheme="minorHAnsi" w:cstheme="minorHAnsi"/>
        </w:rPr>
      </w:pPr>
      <w:r w:rsidRPr="00F754F2">
        <w:rPr>
          <w:rFonts w:asciiTheme="minorHAnsi" w:hAnsiTheme="minorHAnsi" w:cstheme="minorHAnsi"/>
          <w:bCs/>
        </w:rPr>
        <w:t>Mechanics for Stage 1 Progression</w:t>
      </w:r>
    </w:p>
    <w:p w14:paraId="1B5A9A2F" w14:textId="75D895D4" w:rsidR="00EF7EFB" w:rsidRPr="00EF7EFB" w:rsidRDefault="00473961" w:rsidP="00EF7EFB">
      <w:pPr>
        <w:pStyle w:val="ListParagraph"/>
        <w:numPr>
          <w:ilvl w:val="0"/>
          <w:numId w:val="2"/>
        </w:numPr>
        <w:jc w:val="both"/>
        <w:rPr>
          <w:rFonts w:asciiTheme="minorHAnsi" w:hAnsiTheme="minorHAnsi" w:cstheme="minorHAnsi"/>
        </w:rPr>
      </w:pPr>
      <w:r w:rsidRPr="00F754F2">
        <w:rPr>
          <w:rFonts w:asciiTheme="minorHAnsi" w:hAnsiTheme="minorHAnsi" w:cstheme="minorHAnsi"/>
          <w:bCs/>
        </w:rPr>
        <w:t>Stage 1 SOP</w:t>
      </w:r>
    </w:p>
    <w:p w14:paraId="49549B38" w14:textId="77777777" w:rsidR="00EF7EFB" w:rsidRPr="00EF7EFB" w:rsidRDefault="00EF7EFB" w:rsidP="00EF7EFB">
      <w:pPr>
        <w:pStyle w:val="ListParagraph"/>
        <w:jc w:val="both"/>
        <w:rPr>
          <w:rFonts w:asciiTheme="minorHAnsi" w:hAnsiTheme="minorHAnsi" w:cstheme="minorHAnsi"/>
        </w:rPr>
      </w:pPr>
    </w:p>
    <w:p w14:paraId="113BC4E7" w14:textId="0AFEF80D" w:rsidR="00EF7EFB" w:rsidRPr="00EF7EFB" w:rsidRDefault="00EF7EFB" w:rsidP="00EF7EFB">
      <w:pPr>
        <w:jc w:val="both"/>
        <w:rPr>
          <w:rFonts w:cstheme="minorHAnsi"/>
        </w:rPr>
      </w:pPr>
      <w:r>
        <w:rPr>
          <w:rFonts w:cstheme="minorHAnsi"/>
        </w:rPr>
        <w:t xml:space="preserve">Additionally, please find 4 Annexes attached at the end of this document- first two (Annex A and B) must be reviewed and completed as part of the progression but  Annex C and D are </w:t>
      </w:r>
      <w:r w:rsidR="00D1468E">
        <w:rPr>
          <w:rFonts w:cstheme="minorHAnsi"/>
        </w:rPr>
        <w:t>for guidance only and</w:t>
      </w:r>
      <w:r>
        <w:rPr>
          <w:rFonts w:cstheme="minorHAnsi"/>
        </w:rPr>
        <w:t xml:space="preserve"> are being shared as they may assist in any local planning. Further </w:t>
      </w:r>
      <w:r w:rsidR="00D1468E">
        <w:rPr>
          <w:rFonts w:cstheme="minorHAnsi"/>
        </w:rPr>
        <w:t xml:space="preserve">supporting </w:t>
      </w:r>
      <w:r>
        <w:rPr>
          <w:rFonts w:cstheme="minorHAnsi"/>
        </w:rPr>
        <w:t>materials are also provided on the Operational Guidance Platform</w:t>
      </w:r>
      <w:r w:rsidR="00D1468E">
        <w:rPr>
          <w:rFonts w:cstheme="minorHAnsi"/>
        </w:rPr>
        <w:t>.</w:t>
      </w:r>
    </w:p>
    <w:p w14:paraId="317EB7E0" w14:textId="77777777" w:rsidR="008E3E3A" w:rsidRPr="00F754F2" w:rsidRDefault="008E3E3A" w:rsidP="008E3E3A">
      <w:pPr>
        <w:pStyle w:val="ListParagraph"/>
        <w:numPr>
          <w:ilvl w:val="0"/>
          <w:numId w:val="4"/>
        </w:numPr>
        <w:jc w:val="both"/>
        <w:rPr>
          <w:rFonts w:asciiTheme="minorHAnsi" w:hAnsiTheme="minorHAnsi" w:cstheme="minorHAnsi"/>
          <w:b/>
          <w:bCs/>
          <w:u w:val="single"/>
        </w:rPr>
      </w:pPr>
      <w:r w:rsidRPr="00F754F2">
        <w:rPr>
          <w:rFonts w:asciiTheme="minorHAnsi" w:hAnsiTheme="minorHAnsi" w:cstheme="minorHAnsi"/>
          <w:b/>
          <w:bCs/>
          <w:u w:val="single"/>
        </w:rPr>
        <w:t>Stage 1 model</w:t>
      </w:r>
    </w:p>
    <w:p w14:paraId="6560D8BA" w14:textId="77777777" w:rsidR="008E3E3A" w:rsidRPr="008E3E3A" w:rsidRDefault="008E3E3A" w:rsidP="008E3E3A">
      <w:pPr>
        <w:pStyle w:val="ListParagraph"/>
        <w:ind w:left="360"/>
        <w:jc w:val="both"/>
        <w:rPr>
          <w:rFonts w:asciiTheme="minorHAnsi" w:hAnsiTheme="minorHAnsi" w:cstheme="minorHAnsi"/>
          <w:b/>
          <w:bCs/>
          <w:u w:val="single"/>
        </w:rPr>
      </w:pPr>
    </w:p>
    <w:p w14:paraId="456674BD" w14:textId="32825936" w:rsidR="002C1E9A" w:rsidRDefault="002C1E9A" w:rsidP="00555FFF">
      <w:pPr>
        <w:kinsoku w:val="0"/>
        <w:overflowPunct w:val="0"/>
        <w:spacing w:after="0" w:line="240" w:lineRule="auto"/>
        <w:jc w:val="both"/>
        <w:textAlignment w:val="baseline"/>
        <w:rPr>
          <w:rFonts w:eastAsiaTheme="minorEastAsia"/>
          <w:color w:val="000000" w:themeColor="text1"/>
          <w:kern w:val="24"/>
          <w:lang w:eastAsia="en-GB"/>
        </w:rPr>
      </w:pPr>
      <w:r w:rsidRPr="005230FD">
        <w:rPr>
          <w:rFonts w:eastAsiaTheme="minorEastAsia"/>
          <w:color w:val="000000" w:themeColor="text1"/>
          <w:kern w:val="24"/>
          <w:lang w:eastAsia="en-GB"/>
        </w:rPr>
        <w:t xml:space="preserve">Stage 1 </w:t>
      </w:r>
      <w:r>
        <w:rPr>
          <w:rFonts w:eastAsiaTheme="minorEastAsia"/>
          <w:color w:val="000000" w:themeColor="text1"/>
          <w:kern w:val="24"/>
          <w:lang w:eastAsia="en-GB"/>
        </w:rPr>
        <w:t>is the</w:t>
      </w:r>
      <w:r w:rsidRPr="005230FD">
        <w:rPr>
          <w:rFonts w:eastAsiaTheme="minorEastAsia"/>
          <w:color w:val="000000" w:themeColor="text1"/>
          <w:kern w:val="24"/>
          <w:lang w:eastAsia="en-GB"/>
        </w:rPr>
        <w:t xml:space="preserve"> last </w:t>
      </w:r>
      <w:r>
        <w:rPr>
          <w:rFonts w:eastAsiaTheme="minorEastAsia"/>
          <w:color w:val="000000" w:themeColor="text1"/>
          <w:kern w:val="24"/>
          <w:lang w:eastAsia="en-GB"/>
        </w:rPr>
        <w:t>point of the national framework governing COVID-19 recovery in prisons and the young peoples’ secure estate (collectively referred to in this document as ‘sites’). The COVID threat will remain for a considerable period and it is conceivable that sites may need to return to Stage 2 or beyond during a significant outbreak. However, by retaining a baseline level of COVID controls at Stage 1 as part of the model, sites will have a COVID resilient approach and will not automatically have to return to previous Stages in the event of an outbreak.</w:t>
      </w:r>
    </w:p>
    <w:p w14:paraId="4DA52DA8" w14:textId="77777777" w:rsidR="00555FFF" w:rsidRPr="00555FFF" w:rsidRDefault="00555FFF" w:rsidP="00555FFF">
      <w:pPr>
        <w:kinsoku w:val="0"/>
        <w:overflowPunct w:val="0"/>
        <w:spacing w:after="0" w:line="240" w:lineRule="auto"/>
        <w:jc w:val="both"/>
        <w:textAlignment w:val="baseline"/>
        <w:rPr>
          <w:rFonts w:eastAsiaTheme="minorEastAsia"/>
          <w:color w:val="000000" w:themeColor="text1"/>
          <w:kern w:val="24"/>
          <w:lang w:eastAsia="en-GB"/>
        </w:rPr>
      </w:pPr>
    </w:p>
    <w:p w14:paraId="06994E2E" w14:textId="77777777" w:rsidR="002C1E9A" w:rsidRPr="00555FFF" w:rsidRDefault="002C1E9A" w:rsidP="00555FFF">
      <w:pPr>
        <w:jc w:val="both"/>
        <w:rPr>
          <w:rFonts w:cstheme="minorHAnsi"/>
        </w:rPr>
      </w:pPr>
      <w:r>
        <w:rPr>
          <w:rFonts w:cstheme="minorHAnsi"/>
        </w:rPr>
        <w:t>Stage 1 is defined as a</w:t>
      </w:r>
      <w:r w:rsidRPr="00555FFF">
        <w:rPr>
          <w:rFonts w:cstheme="minorHAnsi"/>
        </w:rPr>
        <w:t xml:space="preserve"> regime state developed locally by the site that delivers a safe, meaningful and decent regime providing fair and consistent access to a fuller range of activities than was possible at earlier stages of the national framework. A Stage 1 regime will deliver the best-possible local balance between safety and sufficiency of regime as a foundation for the further regime reform that will follow or as a continuation of ongoing reforms in the YCS. </w:t>
      </w:r>
    </w:p>
    <w:p w14:paraId="4258F42E" w14:textId="2612CDBB" w:rsidR="002C1E9A" w:rsidRDefault="002C1E9A" w:rsidP="00247322">
      <w:pPr>
        <w:spacing w:after="0" w:line="240" w:lineRule="auto"/>
        <w:rPr>
          <w:rFonts w:cstheme="minorHAnsi"/>
        </w:rPr>
      </w:pPr>
      <w:r w:rsidRPr="00555FFF">
        <w:rPr>
          <w:rFonts w:cstheme="minorHAnsi"/>
        </w:rPr>
        <w:t xml:space="preserve">Development of the Stage 1 Model has been a significant exercise in collaboration with a series of engagement events held with </w:t>
      </w:r>
      <w:r w:rsidR="00555FFF">
        <w:rPr>
          <w:rFonts w:cstheme="minorHAnsi"/>
        </w:rPr>
        <w:t xml:space="preserve">many colleagues, including </w:t>
      </w:r>
      <w:r w:rsidRPr="00555FFF">
        <w:rPr>
          <w:rFonts w:cstheme="minorHAnsi"/>
        </w:rPr>
        <w:t xml:space="preserve">operational </w:t>
      </w:r>
      <w:r w:rsidR="00555FFF">
        <w:rPr>
          <w:rFonts w:cstheme="minorHAnsi"/>
        </w:rPr>
        <w:t>representatives</w:t>
      </w:r>
      <w:r w:rsidRPr="00555FFF">
        <w:rPr>
          <w:rFonts w:cstheme="minorHAnsi"/>
        </w:rPr>
        <w:t xml:space="preserve"> at every level, in every role and at every type of establishment.</w:t>
      </w:r>
    </w:p>
    <w:p w14:paraId="699C6EC3" w14:textId="77777777" w:rsidR="00247322" w:rsidRDefault="00247322" w:rsidP="00555FFF">
      <w:pPr>
        <w:spacing w:after="0" w:line="240" w:lineRule="auto"/>
        <w:rPr>
          <w:rFonts w:cstheme="minorHAnsi"/>
        </w:rPr>
      </w:pPr>
    </w:p>
    <w:p w14:paraId="20ADC103" w14:textId="4A844918" w:rsidR="00024810" w:rsidRDefault="002C1E9A" w:rsidP="008E3E3A">
      <w:pPr>
        <w:jc w:val="both"/>
        <w:rPr>
          <w:rFonts w:cstheme="minorHAnsi"/>
        </w:rPr>
      </w:pPr>
      <w:r>
        <w:rPr>
          <w:rFonts w:cstheme="minorHAnsi"/>
        </w:rPr>
        <w:t xml:space="preserve">The Stage 1 model </w:t>
      </w:r>
      <w:r w:rsidR="008E3E3A" w:rsidRPr="008E3E3A">
        <w:rPr>
          <w:rFonts w:cstheme="minorHAnsi"/>
        </w:rPr>
        <w:t xml:space="preserve">is provided below </w:t>
      </w:r>
      <w:r w:rsidR="005D7CA3">
        <w:rPr>
          <w:rFonts w:cstheme="minorHAnsi"/>
        </w:rPr>
        <w:t>together with the intr</w:t>
      </w:r>
      <w:r w:rsidR="00F754F2">
        <w:rPr>
          <w:rFonts w:cstheme="minorHAnsi"/>
        </w:rPr>
        <w:t>oduction</w:t>
      </w:r>
      <w:r w:rsidR="00024810">
        <w:rPr>
          <w:rFonts w:cstheme="minorHAnsi"/>
        </w:rPr>
        <w:t>.</w:t>
      </w:r>
      <w:r w:rsidR="00024810">
        <w:t xml:space="preserve"> </w:t>
      </w:r>
      <w:bookmarkStart w:id="1" w:name="_Hlk78455027"/>
      <w:r w:rsidR="00024810">
        <w:t>Please note that the documents and information provided, including the “Red Flags” will be reviewed and further developed where needed.</w:t>
      </w:r>
      <w:bookmarkEnd w:id="1"/>
    </w:p>
    <w:bookmarkStart w:id="2" w:name="_MON_1688985699"/>
    <w:bookmarkEnd w:id="2"/>
    <w:p w14:paraId="2920B3BC" w14:textId="508A6224" w:rsidR="00EF7EFB" w:rsidRPr="002B7C67" w:rsidRDefault="003F13A8" w:rsidP="00947357">
      <w:pPr>
        <w:jc w:val="both"/>
      </w:pPr>
      <w:r>
        <w:object w:dxaOrig="1309" w:dyaOrig="850" w14:anchorId="3A1E68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65.5pt;height:42.5pt" o:ole="">
            <v:imagedata r:id="rId11" o:title=""/>
          </v:shape>
          <o:OLEObject Type="Embed" ProgID="Word.Document.12" ShapeID="_x0000_i1040" DrawAspect="Icon" ObjectID="_1689068762" r:id="rId12">
            <o:FieldCodes>\s</o:FieldCodes>
          </o:OLEObject>
        </w:object>
      </w:r>
    </w:p>
    <w:p w14:paraId="03076169" w14:textId="77777777" w:rsidR="00291A2C" w:rsidRPr="00B63FAA" w:rsidRDefault="00291A2C" w:rsidP="00661901">
      <w:pPr>
        <w:pStyle w:val="ListParagraph"/>
        <w:numPr>
          <w:ilvl w:val="0"/>
          <w:numId w:val="4"/>
        </w:numPr>
        <w:jc w:val="both"/>
        <w:rPr>
          <w:rFonts w:asciiTheme="minorHAnsi" w:hAnsiTheme="minorHAnsi" w:cstheme="minorHAnsi"/>
          <w:b/>
          <w:bCs/>
          <w:u w:val="single"/>
        </w:rPr>
      </w:pPr>
      <w:r w:rsidRPr="00B63FAA">
        <w:rPr>
          <w:rFonts w:asciiTheme="minorHAnsi" w:hAnsiTheme="minorHAnsi" w:cstheme="minorHAnsi"/>
          <w:b/>
          <w:bCs/>
          <w:u w:val="single"/>
        </w:rPr>
        <w:lastRenderedPageBreak/>
        <w:t>Mechanics for Stage 1 Progression</w:t>
      </w:r>
    </w:p>
    <w:p w14:paraId="4D309FF5" w14:textId="77777777" w:rsidR="00291A2C" w:rsidRPr="00473961" w:rsidRDefault="00291A2C" w:rsidP="00661901">
      <w:pPr>
        <w:pStyle w:val="ListParagraph"/>
        <w:ind w:left="360"/>
        <w:jc w:val="both"/>
        <w:rPr>
          <w:rFonts w:asciiTheme="minorHAnsi" w:hAnsiTheme="minorHAnsi" w:cstheme="minorHAnsi"/>
          <w:b/>
          <w:bCs/>
        </w:rPr>
      </w:pPr>
    </w:p>
    <w:p w14:paraId="5D75574A" w14:textId="77777777" w:rsidR="005802BD" w:rsidRPr="00555FFF" w:rsidRDefault="00AF31ED" w:rsidP="005802BD">
      <w:pPr>
        <w:pStyle w:val="ListParagraph"/>
        <w:ind w:left="0"/>
        <w:jc w:val="both"/>
        <w:rPr>
          <w:rFonts w:asciiTheme="minorHAnsi" w:hAnsiTheme="minorHAnsi" w:cstheme="minorHAnsi"/>
        </w:rPr>
      </w:pPr>
      <w:r w:rsidRPr="00473961">
        <w:rPr>
          <w:rFonts w:asciiTheme="minorHAnsi" w:hAnsiTheme="minorHAnsi" w:cstheme="minorHAnsi"/>
        </w:rPr>
        <w:t xml:space="preserve">Prison Recovery Board and POMC have now agreed a progression mechanism for Prison progression to Stage 1 regimes. The agreed progression mechanism is intended to strike a balance between providing sufficient assurance and minimising administrative requirements for progression. The agreed process builds </w:t>
      </w:r>
      <w:r w:rsidR="00473961" w:rsidRPr="00473961">
        <w:rPr>
          <w:rFonts w:asciiTheme="minorHAnsi" w:hAnsiTheme="minorHAnsi" w:cstheme="minorHAnsi"/>
        </w:rPr>
        <w:t>on equivalent</w:t>
      </w:r>
      <w:r w:rsidRPr="00473961">
        <w:rPr>
          <w:rFonts w:asciiTheme="minorHAnsi" w:hAnsiTheme="minorHAnsi" w:cstheme="minorHAnsi"/>
        </w:rPr>
        <w:t xml:space="preserve"> arrangements at earlier stages</w:t>
      </w:r>
      <w:r w:rsidR="00187255">
        <w:rPr>
          <w:rFonts w:asciiTheme="minorHAnsi" w:hAnsiTheme="minorHAnsi" w:cstheme="minorHAnsi"/>
        </w:rPr>
        <w:t xml:space="preserve"> which we hope will limit the administrative</w:t>
      </w:r>
      <w:r w:rsidR="00BD53C7">
        <w:rPr>
          <w:rFonts w:asciiTheme="minorHAnsi" w:hAnsiTheme="minorHAnsi" w:cstheme="minorHAnsi"/>
        </w:rPr>
        <w:t xml:space="preserve"> requirements </w:t>
      </w:r>
      <w:r w:rsidR="00187255">
        <w:rPr>
          <w:rFonts w:asciiTheme="minorHAnsi" w:hAnsiTheme="minorHAnsi" w:cstheme="minorHAnsi"/>
        </w:rPr>
        <w:t>at all levels</w:t>
      </w:r>
      <w:r w:rsidRPr="00473961">
        <w:rPr>
          <w:rFonts w:asciiTheme="minorHAnsi" w:hAnsiTheme="minorHAnsi" w:cstheme="minorHAnsi"/>
        </w:rPr>
        <w:t xml:space="preserve">. </w:t>
      </w:r>
      <w:r w:rsidRPr="00473961">
        <w:rPr>
          <w:rFonts w:cstheme="minorHAnsi"/>
        </w:rPr>
        <w:t>The below diagram outlines the key steps for progression</w:t>
      </w:r>
      <w:r w:rsidR="00F754F2">
        <w:rPr>
          <w:rFonts w:cstheme="minorHAnsi"/>
        </w:rPr>
        <w:t>.</w:t>
      </w:r>
    </w:p>
    <w:p w14:paraId="6DC57065" w14:textId="77777777" w:rsidR="00555FFF" w:rsidRDefault="00555FFF" w:rsidP="00661901">
      <w:pPr>
        <w:pStyle w:val="ListParagraph"/>
        <w:ind w:left="0"/>
        <w:jc w:val="both"/>
        <w:rPr>
          <w:rStyle w:val="CommentReference"/>
          <w:rFonts w:cstheme="minorBidi"/>
        </w:rPr>
      </w:pPr>
    </w:p>
    <w:p w14:paraId="25A9C70C" w14:textId="77777777" w:rsidR="00555FFF" w:rsidRDefault="00555FFF" w:rsidP="00661901">
      <w:pPr>
        <w:pStyle w:val="ListParagraph"/>
        <w:ind w:left="0"/>
        <w:jc w:val="both"/>
        <w:rPr>
          <w:rStyle w:val="CommentReference"/>
          <w:rFonts w:cstheme="minorBidi"/>
        </w:rPr>
      </w:pPr>
    </w:p>
    <w:p w14:paraId="7A665B32" w14:textId="77777777" w:rsidR="00555FFF" w:rsidRDefault="00555FFF" w:rsidP="00661901">
      <w:pPr>
        <w:pStyle w:val="ListParagraph"/>
        <w:ind w:left="0"/>
        <w:jc w:val="both"/>
        <w:rPr>
          <w:rStyle w:val="CommentReference"/>
          <w:rFonts w:cstheme="minorBidi"/>
        </w:rPr>
      </w:pPr>
    </w:p>
    <w:p w14:paraId="09F301BF" w14:textId="76B9CFE5" w:rsidR="00555FFF" w:rsidRDefault="00555FFF" w:rsidP="00661901">
      <w:pPr>
        <w:pStyle w:val="ListParagraph"/>
        <w:ind w:left="0"/>
        <w:jc w:val="both"/>
        <w:rPr>
          <w:rStyle w:val="CommentReference"/>
          <w:rFonts w:cstheme="minorBidi"/>
        </w:rPr>
      </w:pPr>
      <w:r w:rsidRPr="00555FFF">
        <w:rPr>
          <w:rStyle w:val="CommentReference"/>
          <w:rFonts w:cstheme="minorBidi"/>
          <w:noProof/>
        </w:rPr>
        <w:drawing>
          <wp:inline distT="0" distB="0" distL="0" distR="0" wp14:anchorId="516989B7" wp14:editId="58D2FFCB">
            <wp:extent cx="6096442" cy="3429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00686" cy="3431387"/>
                    </a:xfrm>
                    <a:prstGeom prst="rect">
                      <a:avLst/>
                    </a:prstGeom>
                  </pic:spPr>
                </pic:pic>
              </a:graphicData>
            </a:graphic>
          </wp:inline>
        </w:drawing>
      </w:r>
    </w:p>
    <w:p w14:paraId="1E4BF5CE" w14:textId="77777777" w:rsidR="00555FFF" w:rsidRDefault="00555FFF" w:rsidP="00661901">
      <w:pPr>
        <w:pStyle w:val="ListParagraph"/>
        <w:ind w:left="0"/>
        <w:jc w:val="both"/>
        <w:rPr>
          <w:rStyle w:val="CommentReference"/>
          <w:rFonts w:cstheme="minorBidi"/>
        </w:rPr>
      </w:pPr>
    </w:p>
    <w:p w14:paraId="642804BA" w14:textId="509FD219" w:rsidR="00AA6214" w:rsidRPr="00473961" w:rsidRDefault="00AA6214" w:rsidP="00661901">
      <w:pPr>
        <w:pStyle w:val="ListParagraph"/>
        <w:ind w:left="0"/>
        <w:jc w:val="both"/>
        <w:rPr>
          <w:rFonts w:asciiTheme="minorHAnsi" w:hAnsiTheme="minorHAnsi" w:cstheme="minorHAnsi"/>
        </w:rPr>
      </w:pPr>
      <w:r w:rsidRPr="00473961">
        <w:rPr>
          <w:rFonts w:asciiTheme="minorHAnsi" w:hAnsiTheme="minorHAnsi" w:cstheme="minorHAnsi"/>
        </w:rPr>
        <w:t xml:space="preserve">Once the Gateway has been opened, </w:t>
      </w:r>
      <w:r w:rsidR="003C6EE1" w:rsidRPr="00555FFF">
        <w:rPr>
          <w:rFonts w:asciiTheme="minorHAnsi" w:hAnsiTheme="minorHAnsi" w:cstheme="minorHAnsi"/>
          <w:b/>
          <w:bCs/>
        </w:rPr>
        <w:t>p</w:t>
      </w:r>
      <w:r w:rsidRPr="00555FFF">
        <w:rPr>
          <w:rFonts w:asciiTheme="minorHAnsi" w:hAnsiTheme="minorHAnsi" w:cstheme="minorHAnsi"/>
          <w:b/>
          <w:bCs/>
        </w:rPr>
        <w:t>risons with a G</w:t>
      </w:r>
      <w:r w:rsidR="00A532EC" w:rsidRPr="00555FFF">
        <w:rPr>
          <w:rFonts w:asciiTheme="minorHAnsi" w:hAnsiTheme="minorHAnsi" w:cstheme="minorHAnsi"/>
          <w:b/>
          <w:bCs/>
        </w:rPr>
        <w:t>reen</w:t>
      </w:r>
      <w:r w:rsidRPr="00555FFF">
        <w:rPr>
          <w:rFonts w:asciiTheme="minorHAnsi" w:hAnsiTheme="minorHAnsi" w:cstheme="minorHAnsi"/>
          <w:b/>
          <w:bCs/>
        </w:rPr>
        <w:t xml:space="preserve"> </w:t>
      </w:r>
      <w:r w:rsidR="00555FFF" w:rsidRPr="00555FFF">
        <w:rPr>
          <w:rFonts w:asciiTheme="minorHAnsi" w:hAnsiTheme="minorHAnsi" w:cstheme="minorHAnsi"/>
          <w:b/>
          <w:bCs/>
        </w:rPr>
        <w:t xml:space="preserve">or Amber </w:t>
      </w:r>
      <w:r w:rsidRPr="00555FFF">
        <w:rPr>
          <w:rFonts w:asciiTheme="minorHAnsi" w:hAnsiTheme="minorHAnsi" w:cstheme="minorHAnsi"/>
          <w:b/>
          <w:bCs/>
        </w:rPr>
        <w:t>RAG rating from the Heatmap panel will be able to begin the process of progressing to Stage 1</w:t>
      </w:r>
      <w:r w:rsidRPr="00473961">
        <w:rPr>
          <w:rFonts w:asciiTheme="minorHAnsi" w:hAnsiTheme="minorHAnsi" w:cstheme="minorHAnsi"/>
          <w:bCs/>
        </w:rPr>
        <w:t xml:space="preserve">. </w:t>
      </w:r>
      <w:r w:rsidR="00535687" w:rsidRPr="00473961">
        <w:rPr>
          <w:rFonts w:asciiTheme="minorHAnsi" w:hAnsiTheme="minorHAnsi" w:cstheme="minorHAnsi"/>
          <w:bCs/>
        </w:rPr>
        <w:t xml:space="preserve">This includes the local </w:t>
      </w:r>
      <w:r w:rsidR="00921795">
        <w:rPr>
          <w:rFonts w:asciiTheme="minorHAnsi" w:hAnsiTheme="minorHAnsi" w:cstheme="minorHAnsi"/>
          <w:bCs/>
        </w:rPr>
        <w:t>utilisation</w:t>
      </w:r>
      <w:r w:rsidR="00921795" w:rsidRPr="00473961">
        <w:rPr>
          <w:rFonts w:asciiTheme="minorHAnsi" w:hAnsiTheme="minorHAnsi" w:cstheme="minorHAnsi"/>
          <w:bCs/>
        </w:rPr>
        <w:t xml:space="preserve"> </w:t>
      </w:r>
      <w:r w:rsidR="00535687" w:rsidRPr="00473961">
        <w:rPr>
          <w:rFonts w:asciiTheme="minorHAnsi" w:hAnsiTheme="minorHAnsi" w:cstheme="minorHAnsi"/>
          <w:bCs/>
        </w:rPr>
        <w:t xml:space="preserve">of the following documentation. </w:t>
      </w:r>
    </w:p>
    <w:p w14:paraId="6E4A4B14" w14:textId="77777777" w:rsidR="00AA6214" w:rsidRPr="00473961" w:rsidRDefault="00AA6214" w:rsidP="00661901">
      <w:pPr>
        <w:pStyle w:val="ListParagraph"/>
        <w:ind w:left="0"/>
        <w:jc w:val="both"/>
        <w:rPr>
          <w:rFonts w:asciiTheme="minorHAnsi" w:hAnsiTheme="minorHAnsi" w:cstheme="minorHAnsi"/>
        </w:rPr>
      </w:pPr>
    </w:p>
    <w:p w14:paraId="332F339B" w14:textId="77777777" w:rsidR="00836317" w:rsidRPr="00473961" w:rsidRDefault="001E369A" w:rsidP="00661901">
      <w:pPr>
        <w:jc w:val="both"/>
        <w:rPr>
          <w:rFonts w:cstheme="minorHAnsi"/>
        </w:rPr>
      </w:pPr>
      <w:r w:rsidRPr="00473961">
        <w:rPr>
          <w:rFonts w:cstheme="minorHAnsi"/>
        </w:rPr>
        <w:t xml:space="preserve">As part of the process for progression to Stage 2, each establishment has been required to produce a </w:t>
      </w:r>
      <w:r w:rsidRPr="00473961">
        <w:rPr>
          <w:rFonts w:cstheme="minorHAnsi"/>
          <w:b/>
          <w:bCs/>
        </w:rPr>
        <w:t>‘Local Recovery Plan’ (LRP)</w:t>
      </w:r>
      <w:r w:rsidRPr="00473961">
        <w:rPr>
          <w:rFonts w:cstheme="minorHAnsi"/>
        </w:rPr>
        <w:t xml:space="preserve"> which contains an assessment of the local backlogs that require addressing and a strategy for delivering a consistent regime while addressing some of these backlog areas. When preparing for transition to Stage 1, establishments will be required to review and close the LRP. It is not expected that all backlogs from the Recovery Plan will have been completed, but establishments should combine these backlogs and any outstanding targets or aims into their </w:t>
      </w:r>
      <w:r w:rsidRPr="00473961">
        <w:rPr>
          <w:rFonts w:cstheme="minorHAnsi"/>
          <w:b/>
          <w:bCs/>
        </w:rPr>
        <w:t>R</w:t>
      </w:r>
      <w:r w:rsidR="00535687" w:rsidRPr="00473961">
        <w:rPr>
          <w:rFonts w:cstheme="minorHAnsi"/>
          <w:b/>
          <w:bCs/>
        </w:rPr>
        <w:t xml:space="preserve">egime </w:t>
      </w:r>
      <w:r w:rsidRPr="00473961">
        <w:rPr>
          <w:rFonts w:cstheme="minorHAnsi"/>
          <w:b/>
          <w:bCs/>
        </w:rPr>
        <w:t>M</w:t>
      </w:r>
      <w:r w:rsidR="00535687" w:rsidRPr="00473961">
        <w:rPr>
          <w:rFonts w:cstheme="minorHAnsi"/>
          <w:b/>
          <w:bCs/>
        </w:rPr>
        <w:t xml:space="preserve">anagement </w:t>
      </w:r>
      <w:r w:rsidRPr="00473961">
        <w:rPr>
          <w:rFonts w:cstheme="minorHAnsi"/>
          <w:b/>
          <w:bCs/>
        </w:rPr>
        <w:t>P</w:t>
      </w:r>
      <w:r w:rsidR="00535687" w:rsidRPr="00473961">
        <w:rPr>
          <w:rFonts w:cstheme="minorHAnsi"/>
          <w:b/>
          <w:bCs/>
        </w:rPr>
        <w:t>lan (RMP)</w:t>
      </w:r>
      <w:r w:rsidRPr="00473961">
        <w:rPr>
          <w:rFonts w:cstheme="minorHAnsi"/>
        </w:rPr>
        <w:t xml:space="preserve"> </w:t>
      </w:r>
    </w:p>
    <w:p w14:paraId="34DB862B" w14:textId="77777777" w:rsidR="000D5CA2" w:rsidRDefault="00535687" w:rsidP="00661901">
      <w:pPr>
        <w:spacing w:after="0"/>
        <w:jc w:val="both"/>
        <w:rPr>
          <w:i/>
          <w:iCs/>
        </w:rPr>
      </w:pPr>
      <w:r w:rsidRPr="00473961">
        <w:rPr>
          <w:rFonts w:cstheme="minorHAnsi"/>
        </w:rPr>
        <w:t xml:space="preserve">The </w:t>
      </w:r>
      <w:r w:rsidRPr="00473961">
        <w:rPr>
          <w:rFonts w:cstheme="minorHAnsi"/>
          <w:b/>
          <w:bCs/>
        </w:rPr>
        <w:t xml:space="preserve">Regime Review </w:t>
      </w:r>
      <w:r w:rsidRPr="00921795">
        <w:rPr>
          <w:rFonts w:cstheme="minorHAnsi"/>
          <w:b/>
          <w:bCs/>
        </w:rPr>
        <w:t>Tool</w:t>
      </w:r>
      <w:r w:rsidRPr="00921795">
        <w:rPr>
          <w:rFonts w:cstheme="minorHAnsi"/>
        </w:rPr>
        <w:t xml:space="preserve"> </w:t>
      </w:r>
      <w:r w:rsidR="00921795" w:rsidRPr="00921795">
        <w:t>is an information source providing prisons with principles and considerations when designing Stage 1 incorporating COVID learning points. These national principles must be taken into consideration when making local operational decisions.</w:t>
      </w:r>
    </w:p>
    <w:p w14:paraId="64B6F6B0" w14:textId="77777777" w:rsidR="000D5CA2" w:rsidRPr="000D5CA2" w:rsidRDefault="000D5CA2" w:rsidP="00661901">
      <w:pPr>
        <w:spacing w:after="0"/>
        <w:jc w:val="both"/>
        <w:rPr>
          <w:i/>
          <w:iCs/>
        </w:rPr>
      </w:pPr>
    </w:p>
    <w:p w14:paraId="5A229A53" w14:textId="7738F525" w:rsidR="00473961" w:rsidRPr="00921795" w:rsidRDefault="00535687" w:rsidP="00661901">
      <w:pPr>
        <w:spacing w:after="0"/>
        <w:jc w:val="both"/>
        <w:rPr>
          <w:i/>
          <w:iCs/>
        </w:rPr>
      </w:pPr>
      <w:r w:rsidRPr="00473961">
        <w:t xml:space="preserve">Governors should </w:t>
      </w:r>
      <w:r w:rsidR="000D5CA2">
        <w:t xml:space="preserve">then </w:t>
      </w:r>
      <w:r w:rsidRPr="00473961">
        <w:t xml:space="preserve">complete the </w:t>
      </w:r>
      <w:r w:rsidR="000D5CA2" w:rsidRPr="000D5CA2">
        <w:rPr>
          <w:b/>
        </w:rPr>
        <w:t>Regime Summary</w:t>
      </w:r>
      <w:r w:rsidR="00346198">
        <w:rPr>
          <w:b/>
        </w:rPr>
        <w:t xml:space="preserve"> </w:t>
      </w:r>
      <w:r w:rsidR="00EF7EFB">
        <w:rPr>
          <w:b/>
        </w:rPr>
        <w:t>(Annex B)</w:t>
      </w:r>
      <w:r w:rsidR="000D5CA2">
        <w:t xml:space="preserve"> to outline their planned Stage 1 regimes, including any changes compared to pre-COVID as well as the </w:t>
      </w:r>
      <w:r w:rsidRPr="00473961">
        <w:rPr>
          <w:b/>
          <w:bCs/>
        </w:rPr>
        <w:t>Assurance Statement</w:t>
      </w:r>
      <w:r w:rsidR="00945F85" w:rsidRPr="00473961">
        <w:rPr>
          <w:b/>
          <w:bCs/>
        </w:rPr>
        <w:t xml:space="preserve"> (Annex </w:t>
      </w:r>
      <w:r w:rsidR="00EF7EFB">
        <w:rPr>
          <w:b/>
          <w:bCs/>
        </w:rPr>
        <w:t>B</w:t>
      </w:r>
      <w:r w:rsidR="00945F85" w:rsidRPr="00473961">
        <w:rPr>
          <w:b/>
          <w:bCs/>
        </w:rPr>
        <w:t>)</w:t>
      </w:r>
      <w:r w:rsidRPr="00473961">
        <w:t>. This is a formalised statement which builds on the Readiness Assessment Checklist required at Stage 2</w:t>
      </w:r>
      <w:r w:rsidR="00473961" w:rsidRPr="00473961">
        <w:t xml:space="preserve">. The Assurance Statement also contains an ‘Assurance and Risk Framework’ Annex which establishments must complete to identify those areas of recovery they consider to be most at risk, and the mitigations in place to manage them. These will give assurance to PGDs and Gold that lessons have been learned at </w:t>
      </w:r>
      <w:r w:rsidR="00473961" w:rsidRPr="00473961">
        <w:lastRenderedPageBreak/>
        <w:t xml:space="preserve">establishments during Stage 2 on areas of </w:t>
      </w:r>
      <w:r w:rsidR="00921795" w:rsidRPr="00473961">
        <w:t>risk and</w:t>
      </w:r>
      <w:r w:rsidR="00473961" w:rsidRPr="00473961">
        <w:t xml:space="preserve"> provide the opportunity for some estate wide analysis of patterns of risks and issues.</w:t>
      </w:r>
    </w:p>
    <w:p w14:paraId="7C873A90" w14:textId="77777777" w:rsidR="00473961" w:rsidRPr="00473961" w:rsidRDefault="00473961" w:rsidP="00661901">
      <w:pPr>
        <w:pStyle w:val="ListParagraph"/>
        <w:ind w:left="0"/>
        <w:jc w:val="both"/>
        <w:rPr>
          <w:rFonts w:asciiTheme="minorHAnsi" w:hAnsiTheme="minorHAnsi" w:cstheme="minorHAnsi"/>
        </w:rPr>
      </w:pPr>
    </w:p>
    <w:p w14:paraId="6ADEB366" w14:textId="10B66483" w:rsidR="00D24274" w:rsidRDefault="00473961" w:rsidP="00661901">
      <w:pPr>
        <w:pStyle w:val="ListParagraph"/>
        <w:ind w:left="0"/>
        <w:jc w:val="both"/>
        <w:rPr>
          <w:rFonts w:asciiTheme="minorHAnsi" w:hAnsiTheme="minorHAnsi" w:cstheme="minorHAnsi"/>
          <w:color w:val="000000"/>
          <w:lang w:val="en-US"/>
        </w:rPr>
      </w:pPr>
      <w:r w:rsidRPr="00473961">
        <w:rPr>
          <w:rFonts w:asciiTheme="minorHAnsi" w:hAnsiTheme="minorHAnsi" w:cstheme="minorHAnsi"/>
        </w:rPr>
        <w:t xml:space="preserve">The </w:t>
      </w:r>
      <w:r w:rsidR="000D5CA2">
        <w:rPr>
          <w:rFonts w:asciiTheme="minorHAnsi" w:hAnsiTheme="minorHAnsi" w:cstheme="minorHAnsi"/>
        </w:rPr>
        <w:t xml:space="preserve">updated RMP, </w:t>
      </w:r>
      <w:r w:rsidRPr="00473961">
        <w:rPr>
          <w:rFonts w:asciiTheme="minorHAnsi" w:hAnsiTheme="minorHAnsi" w:cstheme="minorHAnsi"/>
        </w:rPr>
        <w:t xml:space="preserve">completed </w:t>
      </w:r>
      <w:r w:rsidR="000D5CA2">
        <w:rPr>
          <w:rFonts w:asciiTheme="minorHAnsi" w:hAnsiTheme="minorHAnsi" w:cstheme="minorHAnsi"/>
        </w:rPr>
        <w:t>A</w:t>
      </w:r>
      <w:r w:rsidR="00921795">
        <w:rPr>
          <w:rFonts w:asciiTheme="minorHAnsi" w:hAnsiTheme="minorHAnsi" w:cstheme="minorHAnsi"/>
        </w:rPr>
        <w:t xml:space="preserve">ssurance </w:t>
      </w:r>
      <w:r w:rsidR="000D5CA2">
        <w:rPr>
          <w:rFonts w:asciiTheme="minorHAnsi" w:hAnsiTheme="minorHAnsi" w:cstheme="minorHAnsi"/>
        </w:rPr>
        <w:t>S</w:t>
      </w:r>
      <w:r w:rsidR="00921795">
        <w:rPr>
          <w:rFonts w:asciiTheme="minorHAnsi" w:hAnsiTheme="minorHAnsi" w:cstheme="minorHAnsi"/>
        </w:rPr>
        <w:t>tatement</w:t>
      </w:r>
      <w:r w:rsidR="0052527C">
        <w:rPr>
          <w:rFonts w:asciiTheme="minorHAnsi" w:hAnsiTheme="minorHAnsi" w:cstheme="minorHAnsi"/>
        </w:rPr>
        <w:t xml:space="preserve">, </w:t>
      </w:r>
      <w:r w:rsidR="000D5CA2">
        <w:rPr>
          <w:rFonts w:asciiTheme="minorHAnsi" w:hAnsiTheme="minorHAnsi" w:cstheme="minorHAnsi"/>
        </w:rPr>
        <w:t>Regime Summary,</w:t>
      </w:r>
      <w:r w:rsidR="00921795" w:rsidRPr="00473961">
        <w:rPr>
          <w:rFonts w:asciiTheme="minorHAnsi" w:hAnsiTheme="minorHAnsi" w:cstheme="minorHAnsi"/>
        </w:rPr>
        <w:t xml:space="preserve"> </w:t>
      </w:r>
      <w:r w:rsidR="000D5CA2">
        <w:rPr>
          <w:rFonts w:asciiTheme="minorHAnsi" w:hAnsiTheme="minorHAnsi" w:cstheme="minorHAnsi"/>
        </w:rPr>
        <w:t xml:space="preserve">and any </w:t>
      </w:r>
      <w:r w:rsidR="00EF7EFB">
        <w:rPr>
          <w:rFonts w:asciiTheme="minorHAnsi" w:hAnsiTheme="minorHAnsi" w:cstheme="minorHAnsi"/>
        </w:rPr>
        <w:t xml:space="preserve">relevant </w:t>
      </w:r>
      <w:r w:rsidR="00B80312">
        <w:rPr>
          <w:rFonts w:asciiTheme="minorHAnsi" w:hAnsiTheme="minorHAnsi" w:cstheme="minorHAnsi"/>
        </w:rPr>
        <w:t xml:space="preserve">supporting documents </w:t>
      </w:r>
      <w:r w:rsidR="00535687" w:rsidRPr="00473961">
        <w:rPr>
          <w:rFonts w:asciiTheme="minorHAnsi" w:hAnsiTheme="minorHAnsi" w:cstheme="minorHAnsi"/>
        </w:rPr>
        <w:t>must be submitted to the</w:t>
      </w:r>
      <w:r w:rsidR="00B80312">
        <w:rPr>
          <w:rFonts w:asciiTheme="minorHAnsi" w:hAnsiTheme="minorHAnsi" w:cstheme="minorHAnsi"/>
        </w:rPr>
        <w:t xml:space="preserve"> PGD</w:t>
      </w:r>
      <w:r w:rsidR="00535687" w:rsidRPr="00473961">
        <w:rPr>
          <w:rFonts w:asciiTheme="minorHAnsi" w:hAnsiTheme="minorHAnsi" w:cstheme="minorHAnsi"/>
        </w:rPr>
        <w:t xml:space="preserve"> </w:t>
      </w:r>
      <w:r w:rsidR="00B80312">
        <w:rPr>
          <w:rFonts w:asciiTheme="minorHAnsi" w:hAnsiTheme="minorHAnsi" w:cstheme="minorHAnsi"/>
        </w:rPr>
        <w:t>for approva</w:t>
      </w:r>
      <w:r w:rsidR="000D5CA2">
        <w:rPr>
          <w:rFonts w:asciiTheme="minorHAnsi" w:hAnsiTheme="minorHAnsi" w:cstheme="minorHAnsi"/>
        </w:rPr>
        <w:t>l. The PGD will then submit Assurance Statement</w:t>
      </w:r>
      <w:r w:rsidR="00B80312">
        <w:rPr>
          <w:rFonts w:asciiTheme="minorHAnsi" w:hAnsiTheme="minorHAnsi" w:cstheme="minorHAnsi"/>
        </w:rPr>
        <w:t xml:space="preserve"> to the </w:t>
      </w:r>
      <w:r w:rsidR="00535687" w:rsidRPr="00473961">
        <w:rPr>
          <w:rFonts w:asciiTheme="minorHAnsi" w:hAnsiTheme="minorHAnsi" w:cstheme="minorHAnsi"/>
        </w:rPr>
        <w:t xml:space="preserve">Executive </w:t>
      </w:r>
      <w:r w:rsidRPr="00473961">
        <w:rPr>
          <w:rFonts w:asciiTheme="minorHAnsi" w:hAnsiTheme="minorHAnsi" w:cstheme="minorHAnsi"/>
        </w:rPr>
        <w:t>Director</w:t>
      </w:r>
      <w:r w:rsidR="00535687" w:rsidRPr="00473961">
        <w:rPr>
          <w:rFonts w:asciiTheme="minorHAnsi" w:hAnsiTheme="minorHAnsi" w:cstheme="minorHAnsi"/>
        </w:rPr>
        <w:t xml:space="preserve"> and Gold</w:t>
      </w:r>
      <w:r w:rsidR="00346198">
        <w:rPr>
          <w:rFonts w:asciiTheme="minorHAnsi" w:hAnsiTheme="minorHAnsi" w:cstheme="minorHAnsi"/>
        </w:rPr>
        <w:t xml:space="preserve"> for oversight and verification</w:t>
      </w:r>
      <w:r w:rsidR="00535687" w:rsidRPr="00473961">
        <w:rPr>
          <w:rFonts w:asciiTheme="minorHAnsi" w:hAnsiTheme="minorHAnsi" w:cstheme="minorHAnsi"/>
          <w:color w:val="000000"/>
          <w:lang w:val="en-US"/>
        </w:rPr>
        <w:t>.</w:t>
      </w:r>
      <w:r w:rsidR="0052527C">
        <w:rPr>
          <w:rFonts w:asciiTheme="minorHAnsi" w:hAnsiTheme="minorHAnsi" w:cstheme="minorHAnsi"/>
          <w:color w:val="000000"/>
          <w:lang w:val="en-US"/>
        </w:rPr>
        <w:t xml:space="preserve"> </w:t>
      </w:r>
      <w:r w:rsidR="00346198">
        <w:rPr>
          <w:rFonts w:asciiTheme="minorHAnsi" w:hAnsiTheme="minorHAnsi" w:cstheme="minorHAnsi"/>
          <w:color w:val="000000"/>
          <w:lang w:val="en-US"/>
        </w:rPr>
        <w:t xml:space="preserve">The </w:t>
      </w:r>
      <w:r w:rsidR="0052527C">
        <w:rPr>
          <w:rFonts w:asciiTheme="minorHAnsi" w:hAnsiTheme="minorHAnsi" w:cstheme="minorHAnsi"/>
          <w:color w:val="000000"/>
          <w:lang w:val="en-US"/>
        </w:rPr>
        <w:t>Regime Summary</w:t>
      </w:r>
      <w:r w:rsidR="000D5CA2">
        <w:rPr>
          <w:rFonts w:asciiTheme="minorHAnsi" w:hAnsiTheme="minorHAnsi" w:cstheme="minorHAnsi"/>
          <w:color w:val="000000"/>
          <w:lang w:val="en-US"/>
        </w:rPr>
        <w:t xml:space="preserve"> will</w:t>
      </w:r>
      <w:r w:rsidR="00EF7EFB">
        <w:rPr>
          <w:rFonts w:asciiTheme="minorHAnsi" w:hAnsiTheme="minorHAnsi" w:cstheme="minorHAnsi"/>
          <w:color w:val="000000"/>
          <w:lang w:val="en-US"/>
        </w:rPr>
        <w:t xml:space="preserve"> also</w:t>
      </w:r>
      <w:r w:rsidR="000D5CA2">
        <w:rPr>
          <w:rFonts w:asciiTheme="minorHAnsi" w:hAnsiTheme="minorHAnsi" w:cstheme="minorHAnsi"/>
          <w:color w:val="000000"/>
          <w:lang w:val="en-US"/>
        </w:rPr>
        <w:t xml:space="preserve"> be shared for monitoring purposes.</w:t>
      </w:r>
    </w:p>
    <w:p w14:paraId="7C955174" w14:textId="77777777" w:rsidR="00FD7210" w:rsidRDefault="00FD7210" w:rsidP="00661901">
      <w:pPr>
        <w:pStyle w:val="ListParagraph"/>
        <w:ind w:left="0"/>
        <w:jc w:val="both"/>
        <w:rPr>
          <w:rFonts w:asciiTheme="minorHAnsi" w:hAnsiTheme="minorHAnsi" w:cstheme="minorHAnsi"/>
          <w:color w:val="000000"/>
          <w:lang w:val="en-US"/>
        </w:rPr>
      </w:pPr>
    </w:p>
    <w:p w14:paraId="0762C3A8" w14:textId="77777777" w:rsidR="00836317" w:rsidRDefault="00836317" w:rsidP="00661901">
      <w:pPr>
        <w:pStyle w:val="ListParagraph"/>
        <w:ind w:left="0"/>
        <w:jc w:val="both"/>
        <w:rPr>
          <w:rFonts w:asciiTheme="minorHAnsi" w:hAnsiTheme="minorHAnsi" w:cstheme="minorHAnsi"/>
          <w:color w:val="000000"/>
          <w:lang w:val="en-US"/>
        </w:rPr>
      </w:pPr>
      <w:r>
        <w:rPr>
          <w:rFonts w:asciiTheme="minorHAnsi" w:hAnsiTheme="minorHAnsi" w:cstheme="minorHAnsi"/>
          <w:color w:val="000000"/>
          <w:lang w:val="en-US"/>
        </w:rPr>
        <w:t xml:space="preserve">Please note that </w:t>
      </w:r>
      <w:r w:rsidR="00D24274">
        <w:rPr>
          <w:rFonts w:asciiTheme="minorHAnsi" w:hAnsiTheme="minorHAnsi" w:cstheme="minorHAnsi"/>
          <w:color w:val="000000"/>
          <w:lang w:val="en-US"/>
        </w:rPr>
        <w:t>whilst</w:t>
      </w:r>
      <w:r>
        <w:rPr>
          <w:rFonts w:asciiTheme="minorHAnsi" w:hAnsiTheme="minorHAnsi" w:cstheme="minorHAnsi"/>
          <w:color w:val="000000"/>
          <w:lang w:val="en-US"/>
        </w:rPr>
        <w:t xml:space="preserve"> Privately Managed Prisons (PMP) do not operate under RMPs, the principles of the Mechanics for Stage 1 progression still apply to Private Estate. </w:t>
      </w:r>
      <w:r w:rsidR="00D24274">
        <w:rPr>
          <w:rFonts w:asciiTheme="minorHAnsi" w:hAnsiTheme="minorHAnsi" w:cstheme="minorHAnsi"/>
          <w:color w:val="000000"/>
          <w:lang w:val="en-US"/>
        </w:rPr>
        <w:t>Thus</w:t>
      </w:r>
      <w:r w:rsidR="00921795">
        <w:rPr>
          <w:rFonts w:asciiTheme="minorHAnsi" w:hAnsiTheme="minorHAnsi" w:cstheme="minorHAnsi"/>
          <w:color w:val="000000"/>
          <w:lang w:val="en-US"/>
        </w:rPr>
        <w:t>, rather</w:t>
      </w:r>
      <w:r w:rsidR="007A057A">
        <w:rPr>
          <w:rFonts w:asciiTheme="minorHAnsi" w:hAnsiTheme="minorHAnsi" w:cstheme="minorHAnsi"/>
          <w:color w:val="000000"/>
          <w:lang w:val="en-US"/>
        </w:rPr>
        <w:t xml:space="preserve"> than </w:t>
      </w:r>
      <w:r w:rsidR="00BB676E">
        <w:rPr>
          <w:rFonts w:asciiTheme="minorHAnsi" w:hAnsiTheme="minorHAnsi" w:cstheme="minorHAnsi"/>
          <w:color w:val="000000"/>
          <w:lang w:val="en-US"/>
        </w:rPr>
        <w:t>building</w:t>
      </w:r>
      <w:r w:rsidR="00513854">
        <w:rPr>
          <w:rFonts w:asciiTheme="minorHAnsi" w:hAnsiTheme="minorHAnsi" w:cstheme="minorHAnsi"/>
          <w:color w:val="000000"/>
          <w:lang w:val="en-US"/>
        </w:rPr>
        <w:t xml:space="preserve"> </w:t>
      </w:r>
      <w:r>
        <w:rPr>
          <w:rFonts w:asciiTheme="minorHAnsi" w:hAnsiTheme="minorHAnsi" w:cstheme="minorHAnsi"/>
          <w:color w:val="000000"/>
          <w:lang w:val="en-US"/>
        </w:rPr>
        <w:t xml:space="preserve">backlogs of recovery work </w:t>
      </w:r>
      <w:r w:rsidR="00BB676E">
        <w:rPr>
          <w:rFonts w:asciiTheme="minorHAnsi" w:hAnsiTheme="minorHAnsi" w:cstheme="minorHAnsi"/>
          <w:color w:val="000000"/>
          <w:lang w:val="en-US"/>
        </w:rPr>
        <w:t xml:space="preserve">into RMPs they should be </w:t>
      </w:r>
      <w:r w:rsidR="00513854">
        <w:rPr>
          <w:rFonts w:asciiTheme="minorHAnsi" w:hAnsiTheme="minorHAnsi" w:cstheme="minorHAnsi"/>
          <w:color w:val="000000"/>
          <w:lang w:val="en-US"/>
        </w:rPr>
        <w:t>recorded as part of</w:t>
      </w:r>
      <w:r>
        <w:rPr>
          <w:rFonts w:asciiTheme="minorHAnsi" w:hAnsiTheme="minorHAnsi" w:cstheme="minorHAnsi"/>
          <w:color w:val="000000"/>
          <w:lang w:val="en-US"/>
        </w:rPr>
        <w:t xml:space="preserve"> contracts for delivery. </w:t>
      </w:r>
      <w:r w:rsidR="008E6A87">
        <w:rPr>
          <w:rFonts w:asciiTheme="minorHAnsi" w:hAnsiTheme="minorHAnsi" w:cstheme="minorHAnsi"/>
          <w:color w:val="000000"/>
          <w:lang w:val="en-US"/>
        </w:rPr>
        <w:t>PMP</w:t>
      </w:r>
      <w:r w:rsidR="00D24274">
        <w:rPr>
          <w:rFonts w:asciiTheme="minorHAnsi" w:hAnsiTheme="minorHAnsi" w:cstheme="minorHAnsi"/>
          <w:color w:val="000000"/>
          <w:lang w:val="en-US"/>
        </w:rPr>
        <w:t xml:space="preserve"> Stage 1 delivery Plans should</w:t>
      </w:r>
      <w:r w:rsidR="008E6A87">
        <w:rPr>
          <w:rFonts w:asciiTheme="minorHAnsi" w:hAnsiTheme="minorHAnsi" w:cstheme="minorHAnsi"/>
          <w:color w:val="000000"/>
          <w:lang w:val="en-US"/>
        </w:rPr>
        <w:t xml:space="preserve"> be signed off by the Head of Custodial Contracts Group before sending to Gold. </w:t>
      </w:r>
    </w:p>
    <w:p w14:paraId="72F8C8E3" w14:textId="77777777" w:rsidR="005802BD" w:rsidRPr="00473961" w:rsidRDefault="005802BD" w:rsidP="00661901">
      <w:pPr>
        <w:pStyle w:val="ListParagraph"/>
        <w:ind w:left="0"/>
        <w:jc w:val="both"/>
        <w:rPr>
          <w:rFonts w:asciiTheme="minorHAnsi" w:hAnsiTheme="minorHAnsi" w:cstheme="minorHAnsi"/>
          <w:color w:val="000000"/>
          <w:lang w:val="en-US"/>
        </w:rPr>
      </w:pPr>
    </w:p>
    <w:p w14:paraId="4D3FA9E5" w14:textId="77777777" w:rsidR="006D00EE" w:rsidRPr="00F578C4" w:rsidRDefault="00B63FAA" w:rsidP="006D00EE">
      <w:pPr>
        <w:pStyle w:val="ListParagraph"/>
        <w:ind w:left="0"/>
        <w:jc w:val="both"/>
        <w:rPr>
          <w:rFonts w:asciiTheme="minorHAnsi" w:hAnsiTheme="minorHAnsi" w:cstheme="minorHAnsi"/>
          <w:b/>
          <w:bCs/>
          <w:color w:val="000000"/>
          <w:lang w:val="en-US"/>
        </w:rPr>
      </w:pPr>
      <w:r w:rsidRPr="00B63FAA">
        <w:rPr>
          <w:rFonts w:asciiTheme="minorHAnsi" w:hAnsiTheme="minorHAnsi" w:cstheme="minorHAnsi"/>
          <w:b/>
          <w:bCs/>
          <w:color w:val="000000"/>
          <w:lang w:val="en-US"/>
        </w:rPr>
        <w:t xml:space="preserve">Consultation </w:t>
      </w:r>
      <w:r>
        <w:rPr>
          <w:rFonts w:asciiTheme="minorHAnsi" w:hAnsiTheme="minorHAnsi" w:cstheme="minorHAnsi"/>
          <w:b/>
          <w:bCs/>
          <w:color w:val="000000"/>
          <w:lang w:val="en-US"/>
        </w:rPr>
        <w:t xml:space="preserve">Requirements </w:t>
      </w:r>
    </w:p>
    <w:p w14:paraId="1E6592BB" w14:textId="11475376" w:rsidR="005802BD" w:rsidRDefault="006D00EE" w:rsidP="006D00EE">
      <w:pPr>
        <w:pStyle w:val="ListParagraph"/>
        <w:ind w:left="0"/>
        <w:jc w:val="both"/>
        <w:rPr>
          <w:lang w:val="en-US"/>
        </w:rPr>
      </w:pPr>
      <w:r w:rsidRPr="004A5620">
        <w:rPr>
          <w:lang w:val="en-US"/>
        </w:rPr>
        <w:t xml:space="preserve">Throughout the National Framework, </w:t>
      </w:r>
      <w:r w:rsidR="00E1250C" w:rsidRPr="004A5620">
        <w:rPr>
          <w:lang w:val="en-US"/>
        </w:rPr>
        <w:t>consultation with</w:t>
      </w:r>
      <w:r w:rsidRPr="004A5620">
        <w:rPr>
          <w:lang w:val="en-US"/>
        </w:rPr>
        <w:t xml:space="preserve"> our </w:t>
      </w:r>
      <w:proofErr w:type="spellStart"/>
      <w:r w:rsidRPr="004A5620">
        <w:rPr>
          <w:lang w:val="en-US"/>
        </w:rPr>
        <w:t>recognised</w:t>
      </w:r>
      <w:proofErr w:type="spellEnd"/>
      <w:r w:rsidRPr="004A5620">
        <w:rPr>
          <w:lang w:val="en-US"/>
        </w:rPr>
        <w:t xml:space="preserve"> Trade Unions and Health partners alike</w:t>
      </w:r>
      <w:r w:rsidR="00E1250C">
        <w:rPr>
          <w:lang w:val="en-US"/>
        </w:rPr>
        <w:t xml:space="preserve"> has been </w:t>
      </w:r>
      <w:r w:rsidR="00FD7210">
        <w:rPr>
          <w:lang w:val="en-US"/>
        </w:rPr>
        <w:t xml:space="preserve">critically </w:t>
      </w:r>
      <w:r w:rsidR="00E1250C">
        <w:rPr>
          <w:lang w:val="en-US"/>
        </w:rPr>
        <w:t xml:space="preserve">important. </w:t>
      </w:r>
      <w:r w:rsidRPr="004A5620">
        <w:rPr>
          <w:lang w:val="en-US"/>
        </w:rPr>
        <w:t>This requirement for thorough consultation remains at Stage 1 (as in business as usual situations) and establishments will be required to work with local trade unions representatives (or regional representatives (national in res</w:t>
      </w:r>
      <w:r w:rsidR="00E1250C">
        <w:rPr>
          <w:lang w:val="en-US"/>
        </w:rPr>
        <w:t>pect of PGA and some NTUS reps)</w:t>
      </w:r>
      <w:r w:rsidRPr="004A5620">
        <w:rPr>
          <w:lang w:val="en-US"/>
        </w:rPr>
        <w:t xml:space="preserve"> where local representatives aren’t available) to determine plans. The existing exceptional </w:t>
      </w:r>
      <w:r w:rsidR="003F2A9C">
        <w:rPr>
          <w:lang w:val="en-US"/>
        </w:rPr>
        <w:t>COVID</w:t>
      </w:r>
      <w:r w:rsidRPr="004A5620">
        <w:rPr>
          <w:lang w:val="en-US"/>
        </w:rPr>
        <w:t xml:space="preserve"> recovery minimum 5 working days </w:t>
      </w:r>
      <w:r w:rsidR="005802BD" w:rsidRPr="004A5620">
        <w:rPr>
          <w:lang w:val="en-US"/>
        </w:rPr>
        <w:t xml:space="preserve">consultation period </w:t>
      </w:r>
      <w:r w:rsidRPr="004A5620">
        <w:rPr>
          <w:lang w:val="en-US"/>
        </w:rPr>
        <w:t xml:space="preserve">(to be aware most NTUS reps do not work weekends) will continue on the basis that sufficient additional local facility time will be provided to local representatives (national reps will also continue on the additional time provided for this period). </w:t>
      </w:r>
    </w:p>
    <w:p w14:paraId="39BACFEC" w14:textId="77777777" w:rsidR="005802BD" w:rsidRDefault="005802BD" w:rsidP="006D00EE">
      <w:pPr>
        <w:pStyle w:val="ListParagraph"/>
        <w:ind w:left="0"/>
        <w:jc w:val="both"/>
        <w:rPr>
          <w:lang w:val="en-US"/>
        </w:rPr>
      </w:pPr>
    </w:p>
    <w:p w14:paraId="4EC76F38" w14:textId="77777777" w:rsidR="00473961" w:rsidRPr="00473961" w:rsidRDefault="006D00EE" w:rsidP="00661901">
      <w:pPr>
        <w:pStyle w:val="ListParagraph"/>
        <w:ind w:left="0"/>
        <w:jc w:val="both"/>
        <w:rPr>
          <w:rFonts w:asciiTheme="minorHAnsi" w:hAnsiTheme="minorHAnsi" w:cstheme="minorHAnsi"/>
        </w:rPr>
      </w:pPr>
      <w:r w:rsidRPr="004A5620">
        <w:rPr>
          <w:lang w:val="en-US"/>
        </w:rPr>
        <w:t>Where local circumstances dictate that additional time is required to complete formal consultation, Governors and representative should work together to agree a local timeframe. For example, if the scale of review at Stage 1 makes it necessary for the representative to visit the site (where regional representatives apply), or the representative is unable to complete the consultation within 5 days, it is expected that establishments come to a local agreement with the representative.  Establishments are required to consult with Trade Union representatives as early in planning as possible and to ensure that there continues to be</w:t>
      </w:r>
      <w:r w:rsidR="005802BD" w:rsidRPr="004A5620">
        <w:rPr>
          <w:lang w:val="en-US"/>
        </w:rPr>
        <w:t> full</w:t>
      </w:r>
      <w:r w:rsidRPr="004A5620">
        <w:rPr>
          <w:lang w:val="en-US"/>
        </w:rPr>
        <w:t xml:space="preserve"> engagement on local risk assessments and safe systems of work. It is expected that representatives will be engaged throughout the planning process, and that the 5 days is the formal final sign off period. </w:t>
      </w:r>
      <w:r w:rsidR="00473961" w:rsidRPr="00473961">
        <w:rPr>
          <w:rFonts w:asciiTheme="minorHAnsi" w:hAnsiTheme="minorHAnsi" w:cstheme="minorHAnsi"/>
        </w:rPr>
        <w:t xml:space="preserve">The HMPPS Health Liaison team will be working with Public Health Partners nationally to design guidance for their regional system on engagement expectations/considerations to ensure effective consultation. </w:t>
      </w:r>
    </w:p>
    <w:p w14:paraId="5402930E" w14:textId="77777777" w:rsidR="005802BD" w:rsidRDefault="005802BD" w:rsidP="00661901">
      <w:pPr>
        <w:pStyle w:val="ListParagraph"/>
        <w:ind w:left="0"/>
        <w:jc w:val="both"/>
        <w:rPr>
          <w:rFonts w:asciiTheme="minorHAnsi" w:hAnsiTheme="minorHAnsi" w:cstheme="minorHAnsi"/>
        </w:rPr>
      </w:pPr>
    </w:p>
    <w:p w14:paraId="01D06684" w14:textId="77777777" w:rsidR="00B63FAA" w:rsidRDefault="00B63FAA" w:rsidP="00661901">
      <w:pPr>
        <w:pStyle w:val="ListParagraph"/>
        <w:ind w:left="0"/>
        <w:jc w:val="both"/>
        <w:rPr>
          <w:rFonts w:asciiTheme="minorHAnsi" w:hAnsiTheme="minorHAnsi" w:cstheme="minorHAnsi"/>
          <w:b/>
          <w:bCs/>
        </w:rPr>
      </w:pPr>
      <w:r w:rsidRPr="00B63FAA">
        <w:rPr>
          <w:rFonts w:asciiTheme="minorHAnsi" w:hAnsiTheme="minorHAnsi" w:cstheme="minorHAnsi"/>
          <w:b/>
          <w:bCs/>
        </w:rPr>
        <w:t xml:space="preserve">Regime Regression </w:t>
      </w:r>
    </w:p>
    <w:p w14:paraId="32F9950B" w14:textId="77777777" w:rsidR="004638BF" w:rsidRDefault="00B63FAA" w:rsidP="00661901">
      <w:pPr>
        <w:pStyle w:val="ListParagraph"/>
        <w:ind w:left="0"/>
        <w:jc w:val="both"/>
        <w:rPr>
          <w:rFonts w:asciiTheme="minorHAnsi" w:eastAsia="Times New Roman" w:hAnsiTheme="minorHAnsi" w:cstheme="minorHAnsi"/>
        </w:rPr>
      </w:pPr>
      <w:r w:rsidRPr="00473961">
        <w:rPr>
          <w:rFonts w:asciiTheme="minorHAnsi" w:hAnsiTheme="minorHAnsi" w:cstheme="minorHAnsi"/>
        </w:rPr>
        <w:t xml:space="preserve">The cautious and risk assessed process around recovery to date means that it is envisioned that progression into Stage 1 will likely extend into the </w:t>
      </w:r>
      <w:r w:rsidR="00FD7210">
        <w:rPr>
          <w:rFonts w:asciiTheme="minorHAnsi" w:hAnsiTheme="minorHAnsi" w:cstheme="minorHAnsi"/>
        </w:rPr>
        <w:t>autumn/</w:t>
      </w:r>
      <w:r w:rsidRPr="00473961">
        <w:rPr>
          <w:rFonts w:asciiTheme="minorHAnsi" w:hAnsiTheme="minorHAnsi" w:cstheme="minorHAnsi"/>
        </w:rPr>
        <w:t xml:space="preserve">winter period for much of the estate. </w:t>
      </w:r>
      <w:r w:rsidR="004638BF" w:rsidRPr="00262190">
        <w:rPr>
          <w:rFonts w:cstheme="minorHAnsi"/>
        </w:rPr>
        <w:t>A prompt response to any new cases remains the appropriate approach, but this will not mean an automatic reversion to more restricted regimes where cases are reported</w:t>
      </w:r>
      <w:r w:rsidR="00921795">
        <w:rPr>
          <w:rFonts w:cstheme="minorHAnsi"/>
        </w:rPr>
        <w:t xml:space="preserve">. Where we are confidently able to manage case risk with the controls in place at Stage 1, we will endeavour to do this. </w:t>
      </w:r>
    </w:p>
    <w:p w14:paraId="2BD79E97" w14:textId="77777777" w:rsidR="004638BF" w:rsidRPr="00473961" w:rsidRDefault="004638BF" w:rsidP="00661901">
      <w:pPr>
        <w:pStyle w:val="ListParagraph"/>
        <w:ind w:left="0"/>
        <w:jc w:val="both"/>
        <w:rPr>
          <w:rFonts w:asciiTheme="minorHAnsi" w:hAnsiTheme="minorHAnsi" w:cstheme="minorHAnsi"/>
        </w:rPr>
      </w:pPr>
    </w:p>
    <w:p w14:paraId="09EBDE4D" w14:textId="108BB993" w:rsidR="00E1250C" w:rsidRDefault="00473961" w:rsidP="002D31F2">
      <w:pPr>
        <w:pStyle w:val="ListParagraph"/>
        <w:ind w:left="0"/>
        <w:jc w:val="both"/>
        <w:rPr>
          <w:rFonts w:asciiTheme="minorHAnsi" w:eastAsia="Times New Roman" w:hAnsiTheme="minorHAnsi" w:cstheme="minorHAnsi"/>
        </w:rPr>
      </w:pPr>
      <w:r w:rsidRPr="00473961">
        <w:rPr>
          <w:rFonts w:asciiTheme="minorHAnsi" w:hAnsiTheme="minorHAnsi" w:cstheme="minorHAnsi"/>
        </w:rPr>
        <w:t xml:space="preserve">We </w:t>
      </w:r>
      <w:r w:rsidR="004638BF">
        <w:rPr>
          <w:rFonts w:asciiTheme="minorHAnsi" w:hAnsiTheme="minorHAnsi" w:cstheme="minorHAnsi"/>
        </w:rPr>
        <w:t xml:space="preserve">must </w:t>
      </w:r>
      <w:r w:rsidR="0046678C">
        <w:rPr>
          <w:rFonts w:asciiTheme="minorHAnsi" w:hAnsiTheme="minorHAnsi" w:cstheme="minorHAnsi"/>
        </w:rPr>
        <w:t xml:space="preserve">however </w:t>
      </w:r>
      <w:r w:rsidR="0046678C" w:rsidRPr="00473961">
        <w:rPr>
          <w:rFonts w:asciiTheme="minorHAnsi" w:hAnsiTheme="minorHAnsi" w:cstheme="minorHAnsi"/>
        </w:rPr>
        <w:t>remain</w:t>
      </w:r>
      <w:r w:rsidRPr="00473961">
        <w:rPr>
          <w:rFonts w:asciiTheme="minorHAnsi" w:hAnsiTheme="minorHAnsi" w:cstheme="minorHAnsi"/>
        </w:rPr>
        <w:t xml:space="preserve"> aware to the possibility of sites having to re-introduce restrictions to regimes following progression to Stage 1. Progression to Stage 1 is </w:t>
      </w:r>
      <w:r w:rsidR="00E274C6">
        <w:rPr>
          <w:rFonts w:asciiTheme="minorHAnsi" w:hAnsiTheme="minorHAnsi" w:cstheme="minorHAnsi"/>
        </w:rPr>
        <w:t>reversible</w:t>
      </w:r>
      <w:r w:rsidR="009B1F26">
        <w:rPr>
          <w:rFonts w:asciiTheme="minorHAnsi" w:hAnsiTheme="minorHAnsi" w:cstheme="minorHAnsi"/>
        </w:rPr>
        <w:t xml:space="preserve"> </w:t>
      </w:r>
      <w:r w:rsidRPr="00473961">
        <w:rPr>
          <w:rFonts w:asciiTheme="minorHAnsi" w:hAnsiTheme="minorHAnsi" w:cstheme="minorHAnsi"/>
        </w:rPr>
        <w:t>and existing mechanisms for regime regression will continue to be operated where required and will be fully controlled by the Governor with PGD oversight and Gold approval.</w:t>
      </w:r>
      <w:r w:rsidR="004638BF">
        <w:rPr>
          <w:rFonts w:asciiTheme="minorHAnsi" w:hAnsiTheme="minorHAnsi" w:cstheme="minorHAnsi"/>
        </w:rPr>
        <w:t xml:space="preserve"> </w:t>
      </w:r>
      <w:r w:rsidR="00C47FE0">
        <w:rPr>
          <w:rFonts w:asciiTheme="minorHAnsi" w:hAnsiTheme="minorHAnsi" w:cstheme="minorHAnsi"/>
        </w:rPr>
        <w:t xml:space="preserve">Where it is necessary to regress regimes, we will maintain the ability to do this. </w:t>
      </w:r>
      <w:r w:rsidRPr="00473961">
        <w:rPr>
          <w:rFonts w:asciiTheme="minorHAnsi" w:hAnsiTheme="minorHAnsi" w:cstheme="minorHAnsi"/>
        </w:rPr>
        <w:t xml:space="preserve">HMPPS will also continue to </w:t>
      </w:r>
      <w:r w:rsidRPr="00473961">
        <w:rPr>
          <w:rFonts w:asciiTheme="minorHAnsi" w:eastAsia="Times New Roman" w:hAnsiTheme="minorHAnsi" w:cstheme="minorHAnsi"/>
        </w:rPr>
        <w:t xml:space="preserve">operate system wide surveillance of all reported communicable diseases in establishments. This may lead again to further national intervention if the risk picture nationally requires an estate-wide approach. </w:t>
      </w:r>
    </w:p>
    <w:p w14:paraId="5B5AFA11" w14:textId="4C384AD2" w:rsidR="00EF7EFB" w:rsidRDefault="00EF7EFB" w:rsidP="002D31F2">
      <w:pPr>
        <w:pStyle w:val="ListParagraph"/>
        <w:ind w:left="0"/>
        <w:jc w:val="both"/>
        <w:rPr>
          <w:rFonts w:asciiTheme="minorHAnsi" w:eastAsia="Times New Roman" w:hAnsiTheme="minorHAnsi" w:cstheme="minorHAnsi"/>
        </w:rPr>
      </w:pPr>
    </w:p>
    <w:p w14:paraId="269B42AB" w14:textId="77777777" w:rsidR="00EF7EFB" w:rsidRDefault="00EF7EFB" w:rsidP="002D31F2">
      <w:pPr>
        <w:pStyle w:val="ListParagraph"/>
        <w:ind w:left="0"/>
        <w:jc w:val="both"/>
        <w:rPr>
          <w:rFonts w:asciiTheme="minorHAnsi" w:eastAsia="Times New Roman" w:hAnsiTheme="minorHAnsi" w:cstheme="minorHAnsi"/>
        </w:rPr>
      </w:pPr>
    </w:p>
    <w:p w14:paraId="38BBE27A" w14:textId="77777777" w:rsidR="005802BD" w:rsidRPr="002D31F2" w:rsidRDefault="005802BD" w:rsidP="002D31F2">
      <w:pPr>
        <w:pStyle w:val="ListParagraph"/>
        <w:ind w:left="0"/>
        <w:jc w:val="both"/>
        <w:rPr>
          <w:rFonts w:asciiTheme="minorHAnsi" w:eastAsia="Times New Roman" w:hAnsiTheme="minorHAnsi" w:cstheme="minorHAnsi"/>
        </w:rPr>
      </w:pPr>
    </w:p>
    <w:p w14:paraId="1AEC2622" w14:textId="77777777" w:rsidR="00BF3DE9" w:rsidRDefault="00535687" w:rsidP="00E1250C">
      <w:pPr>
        <w:pStyle w:val="ListParagraph"/>
        <w:numPr>
          <w:ilvl w:val="0"/>
          <w:numId w:val="4"/>
        </w:numPr>
        <w:jc w:val="both"/>
        <w:rPr>
          <w:rFonts w:cstheme="minorHAnsi"/>
          <w:b/>
          <w:bCs/>
          <w:u w:val="single"/>
        </w:rPr>
      </w:pPr>
      <w:r w:rsidRPr="00E1250C">
        <w:rPr>
          <w:rFonts w:cstheme="minorHAnsi"/>
          <w:b/>
          <w:bCs/>
          <w:u w:val="single"/>
        </w:rPr>
        <w:lastRenderedPageBreak/>
        <w:t>Stage 1 SOP</w:t>
      </w:r>
    </w:p>
    <w:p w14:paraId="707FA896" w14:textId="77777777" w:rsidR="00B31187" w:rsidRDefault="00B31187" w:rsidP="00B31187">
      <w:pPr>
        <w:pStyle w:val="ListParagraph"/>
        <w:ind w:left="360"/>
        <w:jc w:val="both"/>
        <w:rPr>
          <w:rFonts w:cstheme="minorHAnsi"/>
          <w:b/>
          <w:bCs/>
          <w:u w:val="single"/>
        </w:rPr>
      </w:pPr>
    </w:p>
    <w:p w14:paraId="45B26A4D" w14:textId="30A0445E" w:rsidR="00904D75" w:rsidRPr="00B31187" w:rsidRDefault="00904D75" w:rsidP="00904D75">
      <w:pPr>
        <w:pStyle w:val="ListParagraph"/>
        <w:ind w:left="360"/>
        <w:jc w:val="both"/>
      </w:pPr>
      <w:r w:rsidRPr="00904D75">
        <w:object w:dxaOrig="1508" w:dyaOrig="982" w14:anchorId="2425D0EB">
          <v:shape id="_x0000_i1047" type="#_x0000_t75" style="width:75.5pt;height:49pt" o:ole="">
            <v:imagedata r:id="rId14" o:title=""/>
          </v:shape>
          <o:OLEObject Type="Embed" ProgID="Word.Document.12" ShapeID="_x0000_i1047" DrawAspect="Icon" ObjectID="_1689068763" r:id="rId15">
            <o:FieldCodes>\s</o:FieldCodes>
          </o:OLEObject>
        </w:object>
      </w:r>
      <w:bookmarkStart w:id="3" w:name="_GoBack"/>
      <w:bookmarkEnd w:id="3"/>
    </w:p>
    <w:p w14:paraId="23F154DD" w14:textId="4C5E6F2D" w:rsidR="00B31187" w:rsidRDefault="001A6737" w:rsidP="001A6737">
      <w:pPr>
        <w:jc w:val="both"/>
      </w:pPr>
      <w:r>
        <w:t>The Stage 1 SOP has been designed to communicate the new baseline set of COVID control measures establishments must maintain at Stage 1</w:t>
      </w:r>
      <w:r w:rsidR="003C5F29">
        <w:t>.</w:t>
      </w:r>
      <w:r>
        <w:t xml:space="preserve"> </w:t>
      </w:r>
    </w:p>
    <w:p w14:paraId="7C5174A1" w14:textId="252220B8" w:rsidR="001A6737" w:rsidRDefault="001A6737" w:rsidP="001A6737">
      <w:pPr>
        <w:jc w:val="both"/>
      </w:pPr>
      <w:r>
        <w:t xml:space="preserve">Though the controls in place in prisons are considered separately to those in the community, the SOP has been reviewed and updated following GOV.UK </w:t>
      </w:r>
      <w:r w:rsidR="003C5F29">
        <w:t>published guidance</w:t>
      </w:r>
      <w:r>
        <w:t xml:space="preserve"> on 12 July &amp; 19 July for the UK Government Step 4 roadmap measures. The Stage 1 SOP also includes differential details and timings in Wales.</w:t>
      </w:r>
    </w:p>
    <w:p w14:paraId="5BF4363A" w14:textId="77777777" w:rsidR="001A6737" w:rsidRDefault="001A6737" w:rsidP="001A6737">
      <w:pPr>
        <w:jc w:val="both"/>
      </w:pPr>
      <w:r>
        <w:t>The SOP framework formalises three core elements and the mechanics for this application:</w:t>
      </w:r>
    </w:p>
    <w:p w14:paraId="42D14515" w14:textId="77777777" w:rsidR="001A6737" w:rsidRDefault="001A6737" w:rsidP="001A6737">
      <w:pPr>
        <w:pStyle w:val="ListParagraph"/>
        <w:numPr>
          <w:ilvl w:val="0"/>
          <w:numId w:val="7"/>
        </w:numPr>
        <w:spacing w:after="160" w:line="252" w:lineRule="auto"/>
        <w:ind w:left="1080"/>
        <w:jc w:val="both"/>
      </w:pPr>
      <w:r>
        <w:rPr>
          <w:b/>
          <w:bCs/>
        </w:rPr>
        <w:t xml:space="preserve">‘Baseline’ Prevention – </w:t>
      </w:r>
      <w:r>
        <w:t>A suite of baseline measures, required at Stage 1, that serve as a first layer of defence against incursion and rapid growth of transmission.</w:t>
      </w:r>
    </w:p>
    <w:p w14:paraId="715413B0" w14:textId="77777777" w:rsidR="001A6737" w:rsidRDefault="001A6737" w:rsidP="001A6737">
      <w:pPr>
        <w:pStyle w:val="ListParagraph"/>
        <w:numPr>
          <w:ilvl w:val="0"/>
          <w:numId w:val="7"/>
        </w:numPr>
        <w:spacing w:line="252" w:lineRule="auto"/>
        <w:ind w:left="1080"/>
        <w:jc w:val="both"/>
      </w:pPr>
      <w:r>
        <w:rPr>
          <w:b/>
          <w:bCs/>
        </w:rPr>
        <w:t xml:space="preserve">Surveillance and Detection Measures– </w:t>
      </w:r>
      <w:r>
        <w:t xml:space="preserve">Measures to be employed at Stage 1 to provide ongoing detection, monitoring capability and early warning to support further intervention. </w:t>
      </w:r>
    </w:p>
    <w:p w14:paraId="418437B4" w14:textId="77777777" w:rsidR="001A6737" w:rsidRPr="001A6737" w:rsidRDefault="001A6737" w:rsidP="001A6737">
      <w:pPr>
        <w:pStyle w:val="ListParagraph"/>
        <w:numPr>
          <w:ilvl w:val="0"/>
          <w:numId w:val="7"/>
        </w:numPr>
        <w:spacing w:line="252" w:lineRule="auto"/>
        <w:ind w:left="1080"/>
        <w:jc w:val="both"/>
        <w:rPr>
          <w:b/>
          <w:bCs/>
        </w:rPr>
      </w:pPr>
      <w:r>
        <w:rPr>
          <w:b/>
          <w:bCs/>
        </w:rPr>
        <w:t xml:space="preserve">Response Interventions – </w:t>
      </w:r>
      <w:r>
        <w:t xml:space="preserve">Further interventions that can be stood up quickly, where necessary, in the event of significantly increased risk or when in outbreak, guided where appropriate by the OCT and heatmap panel RAG rating. </w:t>
      </w:r>
    </w:p>
    <w:p w14:paraId="0859DC78" w14:textId="77777777" w:rsidR="001A6737" w:rsidRDefault="001A6737" w:rsidP="001A6737">
      <w:pPr>
        <w:pStyle w:val="ListParagraph"/>
        <w:spacing w:line="252" w:lineRule="auto"/>
        <w:ind w:left="1080"/>
        <w:jc w:val="both"/>
        <w:rPr>
          <w:b/>
          <w:bCs/>
        </w:rPr>
      </w:pPr>
    </w:p>
    <w:p w14:paraId="7A6BA688" w14:textId="77777777" w:rsidR="001A6737" w:rsidRDefault="001A6737" w:rsidP="001A6737">
      <w:pPr>
        <w:jc w:val="both"/>
      </w:pPr>
      <w:r>
        <w:t xml:space="preserve">The baseline prevention measure will retain a set of COVID controls being applied at all prisons and sites, whereas the remaining two measures will be applied locally as and when required. The SOP outlines the circumstances and triggers for any potential escalation from the baseline measure. As such, other than within a baseline condition, prisons will be provided with flexibility and autonomy to manage COVID threats locally. This position provides alignment with a UK forecasted situation where the risk of COVID severity is greatly reduced from the vaccination/population immunity with testing and surveillance outcomes in place. </w:t>
      </w:r>
    </w:p>
    <w:p w14:paraId="0EE09F6D" w14:textId="77777777" w:rsidR="0078086A" w:rsidRDefault="001A6737" w:rsidP="001A6737">
      <w:pPr>
        <w:jc w:val="both"/>
      </w:pPr>
      <w:r>
        <w:t>Sites will therefore be able to provide a full set of regimes utilising the Stage 1 SOP, with a reduced but safe set of layered COVID measures commensurate to the local situation. Controls will be applied relating to the local COVID threat. Given the uncertainty of COVID, a full range of our existing controls remain available for deployment where a situation may arise. This provision allows both local and regional response to be triggered without the requirement for central/national regression measures being activated. As such, local flexibility will provide a swift response in getting ahead of threats where required.</w:t>
      </w:r>
      <w:r w:rsidR="00B31187">
        <w:t xml:space="preserve"> </w:t>
      </w:r>
    </w:p>
    <w:p w14:paraId="56281692" w14:textId="77777777" w:rsidR="00EF7EFB" w:rsidRDefault="00EF7EFB" w:rsidP="006E7186">
      <w:pPr>
        <w:jc w:val="both"/>
        <w:rPr>
          <w:rFonts w:cstheme="minorHAnsi"/>
          <w:b/>
          <w:bCs/>
          <w:sz w:val="24"/>
          <w:szCs w:val="24"/>
        </w:rPr>
      </w:pPr>
    </w:p>
    <w:p w14:paraId="49865A39" w14:textId="77777777" w:rsidR="00EF7EFB" w:rsidRDefault="00EF7EFB" w:rsidP="006E7186">
      <w:pPr>
        <w:jc w:val="both"/>
        <w:rPr>
          <w:rFonts w:cstheme="minorHAnsi"/>
          <w:b/>
          <w:bCs/>
          <w:sz w:val="24"/>
          <w:szCs w:val="24"/>
        </w:rPr>
      </w:pPr>
    </w:p>
    <w:p w14:paraId="32348D6F" w14:textId="77777777" w:rsidR="00EF7EFB" w:rsidRDefault="00EF7EFB" w:rsidP="006E7186">
      <w:pPr>
        <w:jc w:val="both"/>
        <w:rPr>
          <w:rFonts w:cstheme="minorHAnsi"/>
          <w:b/>
          <w:bCs/>
          <w:sz w:val="24"/>
          <w:szCs w:val="24"/>
        </w:rPr>
      </w:pPr>
    </w:p>
    <w:p w14:paraId="3E8189F5" w14:textId="77777777" w:rsidR="00EF7EFB" w:rsidRDefault="00EF7EFB" w:rsidP="006E7186">
      <w:pPr>
        <w:jc w:val="both"/>
        <w:rPr>
          <w:rFonts w:cstheme="minorHAnsi"/>
          <w:b/>
          <w:bCs/>
          <w:sz w:val="24"/>
          <w:szCs w:val="24"/>
        </w:rPr>
      </w:pPr>
    </w:p>
    <w:p w14:paraId="44487290" w14:textId="77777777" w:rsidR="00EF7EFB" w:rsidRDefault="00EF7EFB" w:rsidP="006E7186">
      <w:pPr>
        <w:jc w:val="both"/>
        <w:rPr>
          <w:rFonts w:cstheme="minorHAnsi"/>
          <w:b/>
          <w:bCs/>
          <w:sz w:val="24"/>
          <w:szCs w:val="24"/>
        </w:rPr>
      </w:pPr>
    </w:p>
    <w:p w14:paraId="3AEE3697" w14:textId="77777777" w:rsidR="00EF7EFB" w:rsidRDefault="00EF7EFB" w:rsidP="006E7186">
      <w:pPr>
        <w:jc w:val="both"/>
        <w:rPr>
          <w:rFonts w:cstheme="minorHAnsi"/>
          <w:b/>
          <w:bCs/>
          <w:sz w:val="24"/>
          <w:szCs w:val="24"/>
        </w:rPr>
      </w:pPr>
    </w:p>
    <w:p w14:paraId="2F020D03" w14:textId="77777777" w:rsidR="003C5F29" w:rsidRDefault="003C5F29" w:rsidP="006E7186">
      <w:pPr>
        <w:jc w:val="both"/>
        <w:rPr>
          <w:rFonts w:cstheme="minorHAnsi"/>
          <w:b/>
          <w:bCs/>
          <w:sz w:val="24"/>
          <w:szCs w:val="24"/>
        </w:rPr>
      </w:pPr>
    </w:p>
    <w:p w14:paraId="5A50E15A" w14:textId="679E0B2F" w:rsidR="006E7186" w:rsidRDefault="003C5F29" w:rsidP="003C5F29">
      <w:pPr>
        <w:rPr>
          <w:rFonts w:cstheme="minorHAnsi"/>
        </w:rPr>
      </w:pPr>
      <w:r>
        <w:rPr>
          <w:rFonts w:cstheme="minorHAnsi"/>
          <w:b/>
          <w:bCs/>
          <w:sz w:val="24"/>
          <w:szCs w:val="24"/>
        </w:rPr>
        <w:br w:type="page"/>
      </w:r>
      <w:r w:rsidR="00F754F2" w:rsidRPr="00F754F2">
        <w:rPr>
          <w:rFonts w:cstheme="minorHAnsi"/>
          <w:b/>
          <w:bCs/>
          <w:sz w:val="24"/>
          <w:szCs w:val="24"/>
        </w:rPr>
        <w:lastRenderedPageBreak/>
        <w:t>Annexes</w:t>
      </w:r>
      <w:r w:rsidR="006E7186" w:rsidRPr="006E7186">
        <w:rPr>
          <w:rFonts w:cstheme="minorHAnsi"/>
        </w:rPr>
        <w:t xml:space="preserve"> </w:t>
      </w:r>
    </w:p>
    <w:p w14:paraId="21CB7260" w14:textId="356C2998" w:rsidR="00FD7210" w:rsidRPr="00555FFF" w:rsidRDefault="00FD7210" w:rsidP="00555FFF">
      <w:pPr>
        <w:jc w:val="both"/>
        <w:rPr>
          <w:rFonts w:cstheme="minorHAnsi"/>
        </w:rPr>
      </w:pPr>
      <w:r>
        <w:rPr>
          <w:rFonts w:cstheme="minorHAnsi"/>
        </w:rPr>
        <w:t xml:space="preserve">In addition to the information provided above, attached to this brief is a package of documentation to support you in planning and preparing for Stage 1 progression when the time is right for </w:t>
      </w:r>
      <w:r w:rsidR="00EF7EFB">
        <w:rPr>
          <w:rFonts w:cstheme="minorHAnsi"/>
        </w:rPr>
        <w:t>the</w:t>
      </w:r>
      <w:r>
        <w:rPr>
          <w:rFonts w:cstheme="minorHAnsi"/>
        </w:rPr>
        <w:t xml:space="preserve"> establishment. </w:t>
      </w:r>
    </w:p>
    <w:p w14:paraId="14EF86DF" w14:textId="77777777" w:rsidR="008F233C" w:rsidRDefault="00247322" w:rsidP="008F233C">
      <w:pPr>
        <w:jc w:val="both"/>
        <w:rPr>
          <w:rFonts w:cstheme="minorHAnsi"/>
          <w:b/>
          <w:bCs/>
          <w:sz w:val="24"/>
          <w:szCs w:val="24"/>
        </w:rPr>
      </w:pPr>
      <w:r>
        <w:rPr>
          <w:rFonts w:cstheme="minorHAnsi"/>
          <w:b/>
          <w:bCs/>
          <w:sz w:val="24"/>
          <w:szCs w:val="24"/>
        </w:rPr>
        <w:t>Attached are:</w:t>
      </w:r>
    </w:p>
    <w:tbl>
      <w:tblPr>
        <w:tblStyle w:val="TableGrid"/>
        <w:tblpPr w:leftFromText="180" w:rightFromText="180" w:vertAnchor="text" w:tblpY="1"/>
        <w:tblOverlap w:val="never"/>
        <w:tblW w:w="0" w:type="auto"/>
        <w:tblInd w:w="0" w:type="dxa"/>
        <w:tblLook w:val="04A0" w:firstRow="1" w:lastRow="0" w:firstColumn="1" w:lastColumn="0" w:noHBand="0" w:noVBand="1"/>
      </w:tblPr>
      <w:tblGrid>
        <w:gridCol w:w="1413"/>
        <w:gridCol w:w="5331"/>
        <w:gridCol w:w="2272"/>
      </w:tblGrid>
      <w:tr w:rsidR="008F233C" w14:paraId="4613CEEF" w14:textId="77777777" w:rsidTr="00B31187">
        <w:trPr>
          <w:trHeight w:val="839"/>
        </w:trPr>
        <w:tc>
          <w:tcPr>
            <w:tcW w:w="14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15E31E" w14:textId="77777777" w:rsidR="008F233C" w:rsidRDefault="008F233C" w:rsidP="00A87A35">
            <w:pPr>
              <w:rPr>
                <w:rFonts w:ascii="Arial" w:hAnsi="Arial" w:cs="Arial"/>
                <w:color w:val="000000" w:themeColor="text1"/>
              </w:rPr>
            </w:pPr>
          </w:p>
          <w:p w14:paraId="16B6C207" w14:textId="77777777" w:rsidR="008F233C" w:rsidRDefault="008F233C" w:rsidP="00A87A35">
            <w:pPr>
              <w:rPr>
                <w:rFonts w:ascii="Arial" w:hAnsi="Arial" w:cs="Arial"/>
                <w:color w:val="000000" w:themeColor="text1"/>
              </w:rPr>
            </w:pPr>
            <w:r>
              <w:rPr>
                <w:rFonts w:ascii="Arial" w:hAnsi="Arial" w:cs="Arial"/>
                <w:color w:val="000000" w:themeColor="text1"/>
              </w:rPr>
              <w:t xml:space="preserve">These must be reviewed and </w:t>
            </w:r>
          </w:p>
          <w:p w14:paraId="7C3E4EFF" w14:textId="77777777" w:rsidR="008F233C" w:rsidRDefault="008F233C" w:rsidP="00A87A35">
            <w:pPr>
              <w:rPr>
                <w:rFonts w:ascii="Arial" w:hAnsi="Arial" w:cs="Arial"/>
                <w:color w:val="000000" w:themeColor="text1"/>
              </w:rPr>
            </w:pPr>
            <w:r>
              <w:rPr>
                <w:rFonts w:ascii="Arial" w:hAnsi="Arial" w:cs="Arial"/>
                <w:color w:val="000000" w:themeColor="text1"/>
              </w:rPr>
              <w:t>completed when planning for Stage 1</w:t>
            </w:r>
          </w:p>
        </w:tc>
        <w:tc>
          <w:tcPr>
            <w:tcW w:w="5331" w:type="dxa"/>
            <w:tcBorders>
              <w:top w:val="single" w:sz="4" w:space="0" w:color="auto"/>
              <w:left w:val="single" w:sz="4" w:space="0" w:color="auto"/>
              <w:bottom w:val="single" w:sz="4" w:space="0" w:color="auto"/>
              <w:right w:val="single" w:sz="4" w:space="0" w:color="auto"/>
            </w:tcBorders>
          </w:tcPr>
          <w:p w14:paraId="7D697F46" w14:textId="77777777" w:rsidR="008F233C" w:rsidRDefault="008F233C" w:rsidP="00555FFF">
            <w:pPr>
              <w:pStyle w:val="ListParagraph"/>
              <w:ind w:left="0"/>
              <w:contextualSpacing w:val="0"/>
              <w:rPr>
                <w:rFonts w:ascii="Arial" w:hAnsi="Arial" w:cs="Arial"/>
                <w:b/>
                <w:color w:val="000000" w:themeColor="text1"/>
              </w:rPr>
            </w:pPr>
            <w:r>
              <w:rPr>
                <w:rFonts w:ascii="Arial" w:hAnsi="Arial" w:cs="Arial"/>
                <w:b/>
                <w:color w:val="000000" w:themeColor="text1"/>
              </w:rPr>
              <w:t xml:space="preserve">Annex A: </w:t>
            </w:r>
          </w:p>
          <w:p w14:paraId="53449D56" w14:textId="77777777" w:rsidR="008F233C" w:rsidRPr="001A6737" w:rsidRDefault="008F233C" w:rsidP="00555FFF">
            <w:pPr>
              <w:pStyle w:val="ListParagraph"/>
              <w:ind w:left="0"/>
              <w:contextualSpacing w:val="0"/>
              <w:rPr>
                <w:rFonts w:ascii="Arial" w:hAnsi="Arial" w:cs="Arial"/>
                <w:bCs/>
                <w:color w:val="000000" w:themeColor="text1"/>
              </w:rPr>
            </w:pPr>
            <w:r w:rsidRPr="001A6737">
              <w:rPr>
                <w:rFonts w:ascii="Arial" w:hAnsi="Arial" w:cs="Arial"/>
                <w:bCs/>
                <w:color w:val="000000" w:themeColor="text1"/>
              </w:rPr>
              <w:t>Stage 1 Regime Summary Form</w:t>
            </w:r>
          </w:p>
          <w:p w14:paraId="0A54BE4B" w14:textId="77777777" w:rsidR="008F233C" w:rsidRDefault="008F233C" w:rsidP="00555FFF">
            <w:pPr>
              <w:pStyle w:val="ListParagraph"/>
              <w:ind w:left="0"/>
              <w:contextualSpacing w:val="0"/>
              <w:rPr>
                <w:rFonts w:ascii="Arial" w:hAnsi="Arial" w:cs="Arial"/>
                <w:b/>
                <w:color w:val="000000" w:themeColor="text1"/>
              </w:rPr>
            </w:pPr>
          </w:p>
          <w:p w14:paraId="7014F2BF" w14:textId="77777777" w:rsidR="008F233C" w:rsidRPr="00B31187" w:rsidRDefault="008F233C" w:rsidP="00247322">
            <w:pPr>
              <w:rPr>
                <w:rFonts w:ascii="Arial" w:hAnsi="Arial" w:cs="Arial"/>
                <w:b/>
                <w:color w:val="000000" w:themeColor="text1"/>
              </w:rPr>
            </w:pPr>
          </w:p>
          <w:p w14:paraId="6EB18FBB" w14:textId="77777777" w:rsidR="008F233C" w:rsidRDefault="008F233C" w:rsidP="00555FFF">
            <w:pPr>
              <w:pStyle w:val="ListParagraph"/>
              <w:ind w:left="0"/>
              <w:contextualSpacing w:val="0"/>
              <w:rPr>
                <w:rFonts w:ascii="Arial" w:hAnsi="Arial" w:cs="Arial"/>
                <w:b/>
                <w:color w:val="000000" w:themeColor="text1"/>
              </w:rPr>
            </w:pPr>
          </w:p>
          <w:p w14:paraId="2CE3ED00" w14:textId="77777777" w:rsidR="008F233C" w:rsidRDefault="008F233C" w:rsidP="00555FFF">
            <w:pPr>
              <w:pStyle w:val="ListParagraph"/>
              <w:ind w:left="0"/>
              <w:contextualSpacing w:val="0"/>
              <w:rPr>
                <w:rFonts w:ascii="Arial" w:hAnsi="Arial" w:cs="Arial"/>
                <w:b/>
                <w:color w:val="000000" w:themeColor="text1"/>
              </w:rPr>
            </w:pPr>
            <w:r>
              <w:rPr>
                <w:rFonts w:ascii="Arial" w:hAnsi="Arial" w:cs="Arial"/>
                <w:b/>
                <w:color w:val="000000" w:themeColor="text1"/>
              </w:rPr>
              <w:t>Annex B:</w:t>
            </w:r>
          </w:p>
          <w:p w14:paraId="3F07DA6A" w14:textId="77777777" w:rsidR="008F233C" w:rsidRPr="00B31187" w:rsidRDefault="008F233C" w:rsidP="00555FFF">
            <w:pPr>
              <w:pStyle w:val="ListParagraph"/>
              <w:ind w:left="0"/>
              <w:contextualSpacing w:val="0"/>
              <w:rPr>
                <w:rFonts w:ascii="Arial" w:hAnsi="Arial" w:cs="Arial"/>
                <w:bCs/>
                <w:color w:val="000000" w:themeColor="text1"/>
              </w:rPr>
            </w:pPr>
            <w:r w:rsidRPr="001A6737">
              <w:rPr>
                <w:rFonts w:ascii="Arial" w:hAnsi="Arial" w:cs="Arial"/>
                <w:bCs/>
                <w:color w:val="000000" w:themeColor="text1"/>
              </w:rPr>
              <w:t>Stage 1 Assurance Statement</w:t>
            </w:r>
          </w:p>
        </w:tc>
        <w:bookmarkStart w:id="4" w:name="_MON_1688977283"/>
        <w:bookmarkEnd w:id="4"/>
        <w:tc>
          <w:tcPr>
            <w:tcW w:w="2272" w:type="dxa"/>
            <w:tcBorders>
              <w:top w:val="single" w:sz="4" w:space="0" w:color="auto"/>
              <w:left w:val="single" w:sz="4" w:space="0" w:color="auto"/>
              <w:bottom w:val="single" w:sz="4" w:space="0" w:color="auto"/>
              <w:right w:val="single" w:sz="4" w:space="0" w:color="auto"/>
            </w:tcBorders>
          </w:tcPr>
          <w:p w14:paraId="2B52DDF0" w14:textId="59089AD3" w:rsidR="008F233C" w:rsidRDefault="005156E8" w:rsidP="00A87A35">
            <w:pPr>
              <w:rPr>
                <w:rFonts w:ascii="Arial" w:eastAsiaTheme="minorHAnsi" w:hAnsi="Arial" w:cs="Arial"/>
                <w:color w:val="000000" w:themeColor="text1"/>
                <w:sz w:val="22"/>
                <w:szCs w:val="22"/>
                <w:lang w:eastAsia="en-US"/>
              </w:rPr>
            </w:pPr>
            <w:r w:rsidRPr="00ED35EE">
              <w:rPr>
                <w:rFonts w:ascii="Arial" w:eastAsiaTheme="minorHAnsi" w:hAnsi="Arial" w:cs="Arial"/>
                <w:color w:val="000000" w:themeColor="text1"/>
                <w:sz w:val="22"/>
                <w:szCs w:val="22"/>
                <w:lang w:eastAsia="en-US"/>
              </w:rPr>
              <w:object w:dxaOrig="1309" w:dyaOrig="850" w14:anchorId="6E3CD70F">
                <v:shape id="_x0000_i1027" type="#_x0000_t75" style="width:65.5pt;height:42.5pt" o:ole="">
                  <v:imagedata r:id="rId16" o:title=""/>
                </v:shape>
                <o:OLEObject Type="Embed" ProgID="Word.Document.12" ShapeID="_x0000_i1027" DrawAspect="Icon" ObjectID="_1689068764" r:id="rId17">
                  <o:FieldCodes>\s</o:FieldCodes>
                </o:OLEObject>
              </w:object>
            </w:r>
          </w:p>
          <w:p w14:paraId="25191A54" w14:textId="77777777" w:rsidR="00B31187" w:rsidRPr="00B31187" w:rsidRDefault="00B31187" w:rsidP="00A87A35">
            <w:pPr>
              <w:rPr>
                <w:rFonts w:ascii="Arial" w:eastAsiaTheme="minorHAnsi" w:hAnsi="Arial" w:cs="Arial"/>
                <w:color w:val="000000" w:themeColor="text1"/>
                <w:sz w:val="22"/>
                <w:szCs w:val="22"/>
                <w:lang w:eastAsia="en-US"/>
              </w:rPr>
            </w:pPr>
          </w:p>
          <w:bookmarkStart w:id="5" w:name="_MON_1688977294"/>
          <w:bookmarkEnd w:id="5"/>
          <w:p w14:paraId="4F13CFB2" w14:textId="77777777" w:rsidR="008F233C" w:rsidRDefault="008F233C" w:rsidP="00A87A35">
            <w:pPr>
              <w:rPr>
                <w:rFonts w:ascii="Arial" w:hAnsi="Arial" w:cs="Arial"/>
                <w:color w:val="000000" w:themeColor="text1"/>
              </w:rPr>
            </w:pPr>
            <w:r w:rsidRPr="00ED35EE">
              <w:rPr>
                <w:rFonts w:ascii="Arial" w:eastAsiaTheme="minorHAnsi" w:hAnsi="Arial" w:cs="Arial"/>
                <w:color w:val="000000" w:themeColor="text1"/>
                <w:sz w:val="22"/>
                <w:szCs w:val="22"/>
                <w:lang w:eastAsia="en-US"/>
              </w:rPr>
              <w:object w:dxaOrig="1508" w:dyaOrig="982" w14:anchorId="2F135EC6">
                <v:shape id="_x0000_i1028" type="#_x0000_t75" style="width:76pt;height:49pt" o:ole="">
                  <v:imagedata r:id="rId18" o:title=""/>
                </v:shape>
                <o:OLEObject Type="Embed" ProgID="Word.Document.12" ShapeID="_x0000_i1028" DrawAspect="Icon" ObjectID="_1689068765" r:id="rId19">
                  <o:FieldCodes>\s</o:FieldCodes>
                </o:OLEObject>
              </w:object>
            </w:r>
          </w:p>
        </w:tc>
      </w:tr>
      <w:tr w:rsidR="008F233C" w14:paraId="576D2305" w14:textId="77777777" w:rsidTr="00B31187">
        <w:trPr>
          <w:trHeight w:val="839"/>
        </w:trPr>
        <w:tc>
          <w:tcPr>
            <w:tcW w:w="14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0F6768D" w14:textId="77777777" w:rsidR="008F233C" w:rsidRDefault="008F233C" w:rsidP="008F233C">
            <w:pPr>
              <w:rPr>
                <w:rFonts w:ascii="Arial" w:hAnsi="Arial" w:cs="Arial"/>
                <w:color w:val="000000" w:themeColor="text1"/>
              </w:rPr>
            </w:pPr>
            <w:r>
              <w:rPr>
                <w:rFonts w:ascii="Arial" w:hAnsi="Arial" w:cs="Arial"/>
                <w:color w:val="000000" w:themeColor="text1"/>
              </w:rPr>
              <w:t>Key additional materials</w:t>
            </w:r>
          </w:p>
          <w:p w14:paraId="0A2EBCE4" w14:textId="27923399" w:rsidR="008F233C" w:rsidRDefault="008F233C" w:rsidP="008F233C">
            <w:pPr>
              <w:rPr>
                <w:rFonts w:ascii="Arial" w:hAnsi="Arial" w:cs="Arial"/>
                <w:color w:val="000000" w:themeColor="text1"/>
              </w:rPr>
            </w:pPr>
            <w:r>
              <w:rPr>
                <w:rFonts w:ascii="Arial" w:hAnsi="Arial" w:cs="Arial"/>
                <w:color w:val="000000" w:themeColor="text1"/>
              </w:rPr>
              <w:t>(</w:t>
            </w:r>
            <w:r w:rsidR="003C5F29">
              <w:rPr>
                <w:rFonts w:ascii="Arial" w:hAnsi="Arial" w:cs="Arial"/>
                <w:color w:val="000000" w:themeColor="text1"/>
              </w:rPr>
              <w:t>for guidance only</w:t>
            </w:r>
            <w:r>
              <w:rPr>
                <w:rFonts w:ascii="Arial" w:hAnsi="Arial" w:cs="Arial"/>
                <w:color w:val="000000" w:themeColor="text1"/>
              </w:rPr>
              <w:t>)</w:t>
            </w:r>
          </w:p>
        </w:tc>
        <w:tc>
          <w:tcPr>
            <w:tcW w:w="5331" w:type="dxa"/>
            <w:tcBorders>
              <w:top w:val="single" w:sz="4" w:space="0" w:color="auto"/>
              <w:left w:val="single" w:sz="4" w:space="0" w:color="auto"/>
              <w:bottom w:val="single" w:sz="4" w:space="0" w:color="auto"/>
              <w:right w:val="single" w:sz="4" w:space="0" w:color="auto"/>
            </w:tcBorders>
          </w:tcPr>
          <w:p w14:paraId="615B255C" w14:textId="77777777" w:rsidR="00555FFF" w:rsidRDefault="00544808" w:rsidP="00555FFF">
            <w:pPr>
              <w:pStyle w:val="ListParagraph"/>
              <w:ind w:left="0"/>
              <w:contextualSpacing w:val="0"/>
              <w:rPr>
                <w:rFonts w:ascii="Arial" w:hAnsi="Arial" w:cs="Arial"/>
                <w:b/>
                <w:color w:val="000000" w:themeColor="text1"/>
              </w:rPr>
            </w:pPr>
            <w:r>
              <w:rPr>
                <w:rFonts w:ascii="Arial" w:hAnsi="Arial" w:cs="Arial"/>
                <w:b/>
                <w:color w:val="000000" w:themeColor="text1"/>
              </w:rPr>
              <w:t>Annex C:</w:t>
            </w:r>
          </w:p>
          <w:p w14:paraId="56E6902B" w14:textId="1BDFD9B8" w:rsidR="008F233C" w:rsidRPr="00555FFF" w:rsidRDefault="008F233C" w:rsidP="00555FFF">
            <w:pPr>
              <w:pStyle w:val="ListParagraph"/>
              <w:ind w:left="0"/>
              <w:contextualSpacing w:val="0"/>
              <w:rPr>
                <w:rFonts w:ascii="Arial" w:hAnsi="Arial" w:cs="Arial"/>
                <w:b/>
                <w:color w:val="000000" w:themeColor="text1"/>
              </w:rPr>
            </w:pPr>
            <w:r w:rsidRPr="001A6737">
              <w:rPr>
                <w:rFonts w:ascii="Arial" w:hAnsi="Arial" w:cs="Arial"/>
                <w:bCs/>
                <w:color w:val="000000" w:themeColor="text1"/>
              </w:rPr>
              <w:t>‘Benefits mapping’ (comparing pre-COVID</w:t>
            </w:r>
            <w:r w:rsidR="00555FFF">
              <w:rPr>
                <w:rFonts w:ascii="Arial" w:hAnsi="Arial" w:cs="Arial"/>
                <w:bCs/>
                <w:color w:val="000000" w:themeColor="text1"/>
              </w:rPr>
              <w:t xml:space="preserve"> </w:t>
            </w:r>
            <w:r w:rsidRPr="001A6737">
              <w:rPr>
                <w:rFonts w:ascii="Arial" w:hAnsi="Arial" w:cs="Arial"/>
                <w:bCs/>
                <w:color w:val="000000" w:themeColor="text1"/>
              </w:rPr>
              <w:t>regimes to Stage 1 proposals at selected sites)</w:t>
            </w:r>
          </w:p>
          <w:p w14:paraId="6635B023" w14:textId="5A2758FC" w:rsidR="001A6737" w:rsidRDefault="001A6737" w:rsidP="00247322">
            <w:pPr>
              <w:rPr>
                <w:rFonts w:ascii="Arial" w:hAnsi="Arial" w:cs="Arial"/>
                <w:b/>
                <w:color w:val="000000" w:themeColor="text1"/>
              </w:rPr>
            </w:pPr>
          </w:p>
          <w:p w14:paraId="328DA0A0" w14:textId="77777777" w:rsidR="00B75DB6" w:rsidRDefault="00B75DB6" w:rsidP="00247322">
            <w:pPr>
              <w:rPr>
                <w:rFonts w:ascii="Arial" w:hAnsi="Arial" w:cs="Arial"/>
                <w:b/>
                <w:color w:val="000000" w:themeColor="text1"/>
              </w:rPr>
            </w:pPr>
          </w:p>
          <w:p w14:paraId="58A5E458" w14:textId="6CAB857B" w:rsidR="008F233C" w:rsidRPr="008F233C" w:rsidRDefault="001A6737" w:rsidP="00555FFF">
            <w:pPr>
              <w:rPr>
                <w:rFonts w:ascii="Arial" w:hAnsi="Arial" w:cs="Arial"/>
                <w:b/>
                <w:color w:val="000000" w:themeColor="text1"/>
              </w:rPr>
            </w:pPr>
            <w:r>
              <w:rPr>
                <w:rFonts w:ascii="Arial" w:hAnsi="Arial" w:cs="Arial"/>
                <w:b/>
                <w:color w:val="000000" w:themeColor="text1"/>
              </w:rPr>
              <w:t>Annex D:</w:t>
            </w:r>
          </w:p>
          <w:p w14:paraId="3602D328" w14:textId="77777777" w:rsidR="00555FFF" w:rsidRDefault="008F233C" w:rsidP="00555FFF">
            <w:pPr>
              <w:rPr>
                <w:rFonts w:ascii="Arial" w:hAnsi="Arial" w:cs="Arial"/>
                <w:bCs/>
                <w:color w:val="000000" w:themeColor="text1"/>
              </w:rPr>
            </w:pPr>
            <w:r w:rsidRPr="001A6737">
              <w:rPr>
                <w:rFonts w:ascii="Arial" w:hAnsi="Arial" w:cs="Arial"/>
                <w:bCs/>
                <w:color w:val="000000" w:themeColor="text1"/>
              </w:rPr>
              <w:t>Case study: Stage 1 regime proposal: HMP</w:t>
            </w:r>
          </w:p>
          <w:p w14:paraId="02CCE5E1" w14:textId="1A7FDB0A" w:rsidR="008F233C" w:rsidRPr="001A6737" w:rsidRDefault="008F233C" w:rsidP="00555FFF">
            <w:pPr>
              <w:rPr>
                <w:rFonts w:ascii="Arial" w:hAnsi="Arial" w:cs="Arial"/>
                <w:bCs/>
                <w:color w:val="000000" w:themeColor="text1"/>
              </w:rPr>
            </w:pPr>
            <w:r w:rsidRPr="001A6737">
              <w:rPr>
                <w:rFonts w:ascii="Arial" w:hAnsi="Arial" w:cs="Arial"/>
                <w:bCs/>
                <w:color w:val="000000" w:themeColor="text1"/>
              </w:rPr>
              <w:t>Leeds, July 2021</w:t>
            </w:r>
          </w:p>
          <w:p w14:paraId="099BAB81" w14:textId="77777777" w:rsidR="008F233C" w:rsidRDefault="008F233C" w:rsidP="00A87A35">
            <w:pPr>
              <w:pStyle w:val="ListParagraph"/>
              <w:ind w:left="1080"/>
              <w:contextualSpacing w:val="0"/>
              <w:rPr>
                <w:rFonts w:ascii="Arial" w:hAnsi="Arial" w:cs="Arial"/>
                <w:b/>
                <w:color w:val="000000" w:themeColor="text1"/>
              </w:rPr>
            </w:pPr>
          </w:p>
        </w:tc>
        <w:tc>
          <w:tcPr>
            <w:tcW w:w="2272" w:type="dxa"/>
            <w:tcBorders>
              <w:top w:val="single" w:sz="4" w:space="0" w:color="auto"/>
              <w:left w:val="single" w:sz="4" w:space="0" w:color="auto"/>
              <w:bottom w:val="single" w:sz="4" w:space="0" w:color="auto"/>
              <w:right w:val="single" w:sz="4" w:space="0" w:color="auto"/>
            </w:tcBorders>
          </w:tcPr>
          <w:p w14:paraId="340F2146" w14:textId="77777777" w:rsidR="008F233C" w:rsidRDefault="001A6737" w:rsidP="00A87A35">
            <w:pPr>
              <w:rPr>
                <w:rFonts w:ascii="Arial" w:eastAsiaTheme="minorHAnsi" w:hAnsi="Arial" w:cs="Arial"/>
                <w:color w:val="000000" w:themeColor="text1"/>
                <w:sz w:val="22"/>
                <w:szCs w:val="22"/>
                <w:lang w:eastAsia="en-US"/>
              </w:rPr>
            </w:pPr>
            <w:r w:rsidRPr="005D1560">
              <w:rPr>
                <w:rFonts w:ascii="Arial" w:eastAsiaTheme="minorHAnsi" w:hAnsi="Arial" w:cs="Arial"/>
                <w:color w:val="000000" w:themeColor="text1"/>
                <w:sz w:val="22"/>
                <w:szCs w:val="22"/>
                <w:lang w:eastAsia="en-US"/>
              </w:rPr>
              <w:object w:dxaOrig="1531" w:dyaOrig="990" w14:anchorId="1527A361">
                <v:shape id="_x0000_i1029" type="#_x0000_t75" style="width:76.5pt;height:49.5pt" o:ole="">
                  <v:imagedata r:id="rId20" o:title=""/>
                </v:shape>
                <o:OLEObject Type="Embed" ProgID="PowerPoint.Show.12" ShapeID="_x0000_i1029" DrawAspect="Icon" ObjectID="_1689068766" r:id="rId21"/>
              </w:object>
            </w:r>
          </w:p>
          <w:p w14:paraId="437C47BF" w14:textId="77777777" w:rsidR="001A6737" w:rsidRDefault="001A6737" w:rsidP="00A87A35">
            <w:pPr>
              <w:rPr>
                <w:rFonts w:ascii="Arial" w:hAnsi="Arial" w:cs="Arial"/>
                <w:color w:val="000000" w:themeColor="text1"/>
              </w:rPr>
            </w:pPr>
          </w:p>
          <w:p w14:paraId="11D9465D" w14:textId="24E013FE" w:rsidR="001A6737" w:rsidRPr="00ED35EE" w:rsidRDefault="005156E8" w:rsidP="00A87A35">
            <w:pPr>
              <w:rPr>
                <w:rFonts w:ascii="Arial" w:hAnsi="Arial" w:cs="Arial"/>
                <w:color w:val="000000" w:themeColor="text1"/>
              </w:rPr>
            </w:pPr>
            <w:r>
              <w:rPr>
                <w:rFonts w:asciiTheme="minorHAnsi" w:eastAsiaTheme="minorHAnsi" w:hAnsiTheme="minorHAnsi" w:cstheme="minorBidi"/>
                <w:sz w:val="22"/>
                <w:szCs w:val="22"/>
                <w:lang w:eastAsia="en-US"/>
              </w:rPr>
              <w:object w:dxaOrig="1440" w:dyaOrig="1219" w14:anchorId="2CB384B9">
                <v:shape id="_x0000_i1030" type="#_x0000_t75" style="width:1in;height:55.5pt" o:ole="">
                  <v:imagedata r:id="rId22" o:title=""/>
                </v:shape>
                <o:OLEObject Type="Embed" ProgID="Outlook.FileAttach" ShapeID="_x0000_i1030" DrawAspect="Icon" ObjectID="_1689068767" r:id="rId23"/>
              </w:object>
            </w:r>
          </w:p>
        </w:tc>
      </w:tr>
    </w:tbl>
    <w:p w14:paraId="10E54A5D" w14:textId="2215C15E" w:rsidR="00FD7210" w:rsidRDefault="00FD7210" w:rsidP="00FD7210">
      <w:pPr>
        <w:rPr>
          <w:rStyle w:val="Hyperlink"/>
          <w:rFonts w:cstheme="minorHAnsi"/>
        </w:rPr>
      </w:pPr>
    </w:p>
    <w:p w14:paraId="47629991" w14:textId="77777777" w:rsidR="00FD7210" w:rsidRPr="00555FFF" w:rsidRDefault="00FD7210" w:rsidP="00FD7210">
      <w:pPr>
        <w:rPr>
          <w:rFonts w:cstheme="minorHAnsi"/>
          <w:color w:val="4472C4" w:themeColor="accent1"/>
          <w:u w:val="single"/>
        </w:rPr>
      </w:pPr>
      <w:r w:rsidRPr="00F754F2">
        <w:rPr>
          <w:rFonts w:cstheme="minorHAnsi"/>
          <w:color w:val="000000" w:themeColor="text1"/>
        </w:rPr>
        <w:t xml:space="preserve">If you </w:t>
      </w:r>
      <w:r>
        <w:rPr>
          <w:rFonts w:cstheme="minorHAnsi"/>
          <w:color w:val="000000" w:themeColor="text1"/>
        </w:rPr>
        <w:t>have difficulty accessing</w:t>
      </w:r>
      <w:r w:rsidRPr="00F754F2">
        <w:rPr>
          <w:rFonts w:cstheme="minorHAnsi"/>
          <w:color w:val="000000" w:themeColor="text1"/>
        </w:rPr>
        <w:t xml:space="preserve"> any of the documents, please visit the COVID operational guidance platform. </w:t>
      </w:r>
      <w:r>
        <w:rPr>
          <w:rFonts w:cstheme="minorHAnsi"/>
          <w:color w:val="000000" w:themeColor="text1"/>
        </w:rPr>
        <w:t>F</w:t>
      </w:r>
      <w:r w:rsidRPr="00F754F2">
        <w:rPr>
          <w:rFonts w:cstheme="minorHAnsi"/>
          <w:color w:val="000000" w:themeColor="text1"/>
        </w:rPr>
        <w:t>or further</w:t>
      </w:r>
      <w:r>
        <w:rPr>
          <w:rFonts w:cstheme="minorHAnsi"/>
          <w:color w:val="000000" w:themeColor="text1"/>
        </w:rPr>
        <w:t xml:space="preserve"> </w:t>
      </w:r>
      <w:r w:rsidRPr="00F754F2">
        <w:rPr>
          <w:rFonts w:cstheme="minorHAnsi"/>
          <w:color w:val="000000" w:themeColor="text1"/>
        </w:rPr>
        <w:t xml:space="preserve">materials to support you in Stage 1 planning please visit: </w:t>
      </w:r>
      <w:hyperlink r:id="rId24" w:history="1">
        <w:r w:rsidRPr="00F754F2">
          <w:rPr>
            <w:rStyle w:val="Hyperlink"/>
            <w:rFonts w:cstheme="minorHAnsi"/>
            <w:color w:val="4472C4" w:themeColor="accent1"/>
          </w:rPr>
          <w:t>https://hmppsintranet.org.uk/ersd-guidance/stage-1/</w:t>
        </w:r>
      </w:hyperlink>
    </w:p>
    <w:p w14:paraId="2CAA29F7" w14:textId="77777777" w:rsidR="00FD7210" w:rsidRDefault="00FD7210" w:rsidP="00FD7210">
      <w:pPr>
        <w:rPr>
          <w:rFonts w:cstheme="minorHAnsi"/>
          <w:color w:val="000000" w:themeColor="text1"/>
        </w:rPr>
      </w:pPr>
      <w:r>
        <w:rPr>
          <w:rFonts w:cstheme="minorHAnsi"/>
          <w:color w:val="000000" w:themeColor="text1"/>
        </w:rPr>
        <w:t>Any</w:t>
      </w:r>
      <w:r w:rsidRPr="00F754F2">
        <w:rPr>
          <w:rFonts w:cstheme="minorHAnsi"/>
          <w:color w:val="000000" w:themeColor="text1"/>
        </w:rPr>
        <w:t xml:space="preserve"> queries</w:t>
      </w:r>
      <w:r>
        <w:rPr>
          <w:rFonts w:cstheme="minorHAnsi"/>
          <w:color w:val="000000" w:themeColor="text1"/>
        </w:rPr>
        <w:t xml:space="preserve"> on this briefing should be directed</w:t>
      </w:r>
      <w:r w:rsidRPr="00F754F2">
        <w:rPr>
          <w:rFonts w:cstheme="minorHAnsi"/>
          <w:color w:val="000000" w:themeColor="text1"/>
        </w:rPr>
        <w:t xml:space="preserve"> to: </w:t>
      </w:r>
      <w:hyperlink r:id="rId25" w:history="1">
        <w:r w:rsidRPr="00F754F2">
          <w:rPr>
            <w:rStyle w:val="Hyperlink"/>
            <w:rFonts w:cstheme="minorHAnsi"/>
            <w:color w:val="4472C4" w:themeColor="accent1"/>
          </w:rPr>
          <w:t>COVID19.RegimesOpsGuidance1@justice.gov.uk</w:t>
        </w:r>
      </w:hyperlink>
      <w:r w:rsidRPr="00F754F2">
        <w:rPr>
          <w:rFonts w:cstheme="minorHAnsi"/>
          <w:color w:val="000000" w:themeColor="text1"/>
        </w:rPr>
        <w:t xml:space="preserve"> </w:t>
      </w:r>
    </w:p>
    <w:p w14:paraId="1718BDDA" w14:textId="77777777" w:rsidR="001A6737" w:rsidRPr="00F754F2" w:rsidRDefault="001A6737" w:rsidP="00661901">
      <w:pPr>
        <w:jc w:val="both"/>
        <w:rPr>
          <w:rFonts w:cstheme="minorHAnsi"/>
          <w:b/>
          <w:bCs/>
          <w:sz w:val="24"/>
          <w:szCs w:val="24"/>
        </w:rPr>
      </w:pPr>
    </w:p>
    <w:sectPr w:rsidR="001A6737" w:rsidRPr="00F754F2" w:rsidSect="00AF31ED">
      <w:headerReference w:type="even" r:id="rId26"/>
      <w:headerReference w:type="default" r:id="rId27"/>
      <w:footerReference w:type="even" r:id="rId28"/>
      <w:footerReference w:type="default" r:id="rId29"/>
      <w:headerReference w:type="first" r:id="rId30"/>
      <w:footerReference w:type="first" r:id="rId31"/>
      <w:pgSz w:w="11906" w:h="16838"/>
      <w:pgMar w:top="1440" w:right="1440" w:bottom="1276" w:left="1276"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998899" w16cex:dateUtc="2021-07-14T15:00:00Z"/>
  <w16cex:commentExtensible w16cex:durableId="2498208C" w16cex:dateUtc="2021-07-13T13:24:00Z"/>
  <w16cex:commentExtensible w16cex:durableId="24A26E56" w16cex:dateUtc="2021-07-21T08:58:00Z"/>
  <w16cex:commentExtensible w16cex:durableId="249BECF3" w16cex:dateUtc="2021-07-16T10:33:00Z"/>
  <w16cex:commentExtensible w16cex:durableId="2498212C" w16cex:dateUtc="2021-07-13T13:26:00Z"/>
  <w16cex:commentExtensible w16cex:durableId="2498215C" w16cex:dateUtc="2021-07-13T13:27:00Z"/>
  <w16cex:commentExtensible w16cex:durableId="249821DA" w16cex:dateUtc="2021-07-13T13:29:00Z"/>
  <w16cex:commentExtensible w16cex:durableId="249BED30" w16cex:dateUtc="2021-07-16T10:34:00Z"/>
  <w16cex:commentExtensible w16cex:durableId="249BEDE8" w16cex:dateUtc="2021-07-16T10:37:00Z"/>
  <w16cex:commentExtensible w16cex:durableId="249BFBD7" w16cex:dateUtc="2021-07-14T14:5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7006BA" w14:textId="77777777" w:rsidR="009D71FE" w:rsidRDefault="009D71FE" w:rsidP="00A508CC">
      <w:pPr>
        <w:spacing w:after="0" w:line="240" w:lineRule="auto"/>
      </w:pPr>
      <w:r>
        <w:separator/>
      </w:r>
    </w:p>
  </w:endnote>
  <w:endnote w:type="continuationSeparator" w:id="0">
    <w:p w14:paraId="38CDFE9F" w14:textId="77777777" w:rsidR="009D71FE" w:rsidRDefault="009D71FE" w:rsidP="00A508CC">
      <w:pPr>
        <w:spacing w:after="0" w:line="240" w:lineRule="auto"/>
      </w:pPr>
      <w:r>
        <w:continuationSeparator/>
      </w:r>
    </w:p>
  </w:endnote>
  <w:endnote w:type="continuationNotice" w:id="1">
    <w:p w14:paraId="1761C3E6" w14:textId="77777777" w:rsidR="009D71FE" w:rsidRDefault="009D71F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F65DF2" w14:textId="77777777" w:rsidR="00A508CC" w:rsidRDefault="00A508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EE3A33" w14:textId="77777777" w:rsidR="00A508CC" w:rsidRDefault="00A508C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CEDCF5" w14:textId="77777777" w:rsidR="00A508CC" w:rsidRDefault="00A508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8363BA" w14:textId="77777777" w:rsidR="009D71FE" w:rsidRDefault="009D71FE" w:rsidP="00A508CC">
      <w:pPr>
        <w:spacing w:after="0" w:line="240" w:lineRule="auto"/>
      </w:pPr>
      <w:r>
        <w:separator/>
      </w:r>
    </w:p>
  </w:footnote>
  <w:footnote w:type="continuationSeparator" w:id="0">
    <w:p w14:paraId="74FB8012" w14:textId="77777777" w:rsidR="009D71FE" w:rsidRDefault="009D71FE" w:rsidP="00A508CC">
      <w:pPr>
        <w:spacing w:after="0" w:line="240" w:lineRule="auto"/>
      </w:pPr>
      <w:r>
        <w:continuationSeparator/>
      </w:r>
    </w:p>
  </w:footnote>
  <w:footnote w:type="continuationNotice" w:id="1">
    <w:p w14:paraId="4A3AE077" w14:textId="77777777" w:rsidR="009D71FE" w:rsidRDefault="009D71F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BF147" w14:textId="77777777" w:rsidR="00A508CC" w:rsidRDefault="00A508C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53921F" w14:textId="77777777" w:rsidR="00A508CC" w:rsidRDefault="00A508C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8C20F2" w14:textId="77777777" w:rsidR="00A508CC" w:rsidRDefault="00A508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2F78BA"/>
    <w:multiLevelType w:val="hybridMultilevel"/>
    <w:tmpl w:val="75385942"/>
    <w:lvl w:ilvl="0" w:tplc="08090001">
      <w:start w:val="1"/>
      <w:numFmt w:val="bullet"/>
      <w:lvlText w:val=""/>
      <w:lvlJc w:val="left"/>
      <w:pPr>
        <w:ind w:left="-23760" w:hanging="360"/>
      </w:pPr>
      <w:rPr>
        <w:rFonts w:ascii="Symbol" w:hAnsi="Symbol" w:hint="default"/>
      </w:rPr>
    </w:lvl>
    <w:lvl w:ilvl="1" w:tplc="08090019" w:tentative="1">
      <w:start w:val="1"/>
      <w:numFmt w:val="lowerLetter"/>
      <w:lvlText w:val="%2."/>
      <w:lvlJc w:val="left"/>
      <w:pPr>
        <w:ind w:left="-23040" w:hanging="360"/>
      </w:pPr>
    </w:lvl>
    <w:lvl w:ilvl="2" w:tplc="0809001B" w:tentative="1">
      <w:start w:val="1"/>
      <w:numFmt w:val="lowerRoman"/>
      <w:lvlText w:val="%3."/>
      <w:lvlJc w:val="right"/>
      <w:pPr>
        <w:ind w:left="-22320" w:hanging="180"/>
      </w:pPr>
    </w:lvl>
    <w:lvl w:ilvl="3" w:tplc="0809000F" w:tentative="1">
      <w:start w:val="1"/>
      <w:numFmt w:val="decimal"/>
      <w:lvlText w:val="%4."/>
      <w:lvlJc w:val="left"/>
      <w:pPr>
        <w:ind w:left="-21600" w:hanging="360"/>
      </w:pPr>
    </w:lvl>
    <w:lvl w:ilvl="4" w:tplc="08090019" w:tentative="1">
      <w:start w:val="1"/>
      <w:numFmt w:val="lowerLetter"/>
      <w:lvlText w:val="%5."/>
      <w:lvlJc w:val="left"/>
      <w:pPr>
        <w:ind w:left="-20880" w:hanging="360"/>
      </w:pPr>
    </w:lvl>
    <w:lvl w:ilvl="5" w:tplc="0809001B" w:tentative="1">
      <w:start w:val="1"/>
      <w:numFmt w:val="lowerRoman"/>
      <w:lvlText w:val="%6."/>
      <w:lvlJc w:val="right"/>
      <w:pPr>
        <w:ind w:left="-20160" w:hanging="180"/>
      </w:pPr>
    </w:lvl>
    <w:lvl w:ilvl="6" w:tplc="0809000F" w:tentative="1">
      <w:start w:val="1"/>
      <w:numFmt w:val="decimal"/>
      <w:lvlText w:val="%7."/>
      <w:lvlJc w:val="left"/>
      <w:pPr>
        <w:ind w:left="-19440" w:hanging="360"/>
      </w:pPr>
    </w:lvl>
    <w:lvl w:ilvl="7" w:tplc="08090019" w:tentative="1">
      <w:start w:val="1"/>
      <w:numFmt w:val="lowerLetter"/>
      <w:lvlText w:val="%8."/>
      <w:lvlJc w:val="left"/>
      <w:pPr>
        <w:ind w:left="-18720" w:hanging="360"/>
      </w:pPr>
    </w:lvl>
    <w:lvl w:ilvl="8" w:tplc="0809001B" w:tentative="1">
      <w:start w:val="1"/>
      <w:numFmt w:val="lowerRoman"/>
      <w:lvlText w:val="%9."/>
      <w:lvlJc w:val="right"/>
      <w:pPr>
        <w:ind w:left="-18000" w:hanging="180"/>
      </w:pPr>
    </w:lvl>
  </w:abstractNum>
  <w:abstractNum w:abstractNumId="1" w15:restartNumberingAfterBreak="0">
    <w:nsid w:val="2EC44382"/>
    <w:multiLevelType w:val="hybridMultilevel"/>
    <w:tmpl w:val="27A06C9A"/>
    <w:lvl w:ilvl="0" w:tplc="8988916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29320D6"/>
    <w:multiLevelType w:val="hybridMultilevel"/>
    <w:tmpl w:val="6148790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3C82E44"/>
    <w:multiLevelType w:val="hybridMultilevel"/>
    <w:tmpl w:val="80AEF55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A9B10C9"/>
    <w:multiLevelType w:val="hybridMultilevel"/>
    <w:tmpl w:val="606454DA"/>
    <w:lvl w:ilvl="0" w:tplc="EA10EF28">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ED46D17"/>
    <w:multiLevelType w:val="hybridMultilevel"/>
    <w:tmpl w:val="88220BC6"/>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4"/>
  </w:num>
  <w:num w:numId="2">
    <w:abstractNumId w:val="2"/>
  </w:num>
  <w:num w:numId="3">
    <w:abstractNumId w:val="3"/>
  </w:num>
  <w:num w:numId="4">
    <w:abstractNumId w:val="5"/>
  </w:num>
  <w:num w:numId="5">
    <w:abstractNumId w:val="0"/>
  </w:num>
  <w:num w:numId="6">
    <w:abstractNumId w:val="1"/>
  </w:num>
  <w:num w:numId="7">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12EF"/>
    <w:rsid w:val="0001006B"/>
    <w:rsid w:val="0002364F"/>
    <w:rsid w:val="00024810"/>
    <w:rsid w:val="00025E89"/>
    <w:rsid w:val="00092AB9"/>
    <w:rsid w:val="000936FE"/>
    <w:rsid w:val="000A198E"/>
    <w:rsid w:val="000B1DED"/>
    <w:rsid w:val="000B2355"/>
    <w:rsid w:val="000B4C8E"/>
    <w:rsid w:val="000B6531"/>
    <w:rsid w:val="000D1400"/>
    <w:rsid w:val="000D5CA2"/>
    <w:rsid w:val="000E30B2"/>
    <w:rsid w:val="001346B4"/>
    <w:rsid w:val="0017078B"/>
    <w:rsid w:val="00187255"/>
    <w:rsid w:val="001A425D"/>
    <w:rsid w:val="001A6737"/>
    <w:rsid w:val="001C3FF1"/>
    <w:rsid w:val="001E369A"/>
    <w:rsid w:val="001E3C54"/>
    <w:rsid w:val="001F76DF"/>
    <w:rsid w:val="002019C3"/>
    <w:rsid w:val="00204A08"/>
    <w:rsid w:val="00214B41"/>
    <w:rsid w:val="00227757"/>
    <w:rsid w:val="00235A90"/>
    <w:rsid w:val="00247322"/>
    <w:rsid w:val="00251924"/>
    <w:rsid w:val="00266763"/>
    <w:rsid w:val="002673DB"/>
    <w:rsid w:val="00291A2C"/>
    <w:rsid w:val="00297D7A"/>
    <w:rsid w:val="002B7C67"/>
    <w:rsid w:val="002C1E9A"/>
    <w:rsid w:val="002D31F2"/>
    <w:rsid w:val="002F0E5E"/>
    <w:rsid w:val="002F3FE2"/>
    <w:rsid w:val="00314A38"/>
    <w:rsid w:val="00346198"/>
    <w:rsid w:val="003646D6"/>
    <w:rsid w:val="0038336E"/>
    <w:rsid w:val="003912AC"/>
    <w:rsid w:val="003C5F29"/>
    <w:rsid w:val="003C6EE1"/>
    <w:rsid w:val="003E024D"/>
    <w:rsid w:val="003E4561"/>
    <w:rsid w:val="003F13A8"/>
    <w:rsid w:val="003F2A9C"/>
    <w:rsid w:val="0042033C"/>
    <w:rsid w:val="004212B9"/>
    <w:rsid w:val="00425C21"/>
    <w:rsid w:val="004269CE"/>
    <w:rsid w:val="004638BF"/>
    <w:rsid w:val="0046678C"/>
    <w:rsid w:val="004734AA"/>
    <w:rsid w:val="00473961"/>
    <w:rsid w:val="00490AA0"/>
    <w:rsid w:val="004A209E"/>
    <w:rsid w:val="004A5620"/>
    <w:rsid w:val="004B1854"/>
    <w:rsid w:val="004B2A9D"/>
    <w:rsid w:val="004B7029"/>
    <w:rsid w:val="004D6CE2"/>
    <w:rsid w:val="004F57FE"/>
    <w:rsid w:val="004F69A4"/>
    <w:rsid w:val="00513854"/>
    <w:rsid w:val="005156E8"/>
    <w:rsid w:val="00517295"/>
    <w:rsid w:val="0052051D"/>
    <w:rsid w:val="00524437"/>
    <w:rsid w:val="0052527C"/>
    <w:rsid w:val="00535687"/>
    <w:rsid w:val="00544808"/>
    <w:rsid w:val="00555FFF"/>
    <w:rsid w:val="005802BD"/>
    <w:rsid w:val="005A0575"/>
    <w:rsid w:val="005A6CAE"/>
    <w:rsid w:val="005D7CA3"/>
    <w:rsid w:val="00637973"/>
    <w:rsid w:val="00661901"/>
    <w:rsid w:val="006743BA"/>
    <w:rsid w:val="006950DF"/>
    <w:rsid w:val="006A200A"/>
    <w:rsid w:val="006A6D54"/>
    <w:rsid w:val="006D00EE"/>
    <w:rsid w:val="006D55D3"/>
    <w:rsid w:val="006D5989"/>
    <w:rsid w:val="006D7C88"/>
    <w:rsid w:val="006E0AD1"/>
    <w:rsid w:val="006E21C0"/>
    <w:rsid w:val="006E7186"/>
    <w:rsid w:val="006F4CF9"/>
    <w:rsid w:val="00714959"/>
    <w:rsid w:val="0076133C"/>
    <w:rsid w:val="00763974"/>
    <w:rsid w:val="0078086A"/>
    <w:rsid w:val="007A057A"/>
    <w:rsid w:val="007C1227"/>
    <w:rsid w:val="007C3663"/>
    <w:rsid w:val="007C636D"/>
    <w:rsid w:val="007D22BF"/>
    <w:rsid w:val="007F7CA8"/>
    <w:rsid w:val="00802BFE"/>
    <w:rsid w:val="00806507"/>
    <w:rsid w:val="00836317"/>
    <w:rsid w:val="00862929"/>
    <w:rsid w:val="008657A6"/>
    <w:rsid w:val="00867098"/>
    <w:rsid w:val="008B1B07"/>
    <w:rsid w:val="008E3E3A"/>
    <w:rsid w:val="008E6A87"/>
    <w:rsid w:val="008F1E2D"/>
    <w:rsid w:val="008F233C"/>
    <w:rsid w:val="00902902"/>
    <w:rsid w:val="00904D75"/>
    <w:rsid w:val="00921795"/>
    <w:rsid w:val="00931FE0"/>
    <w:rsid w:val="00944511"/>
    <w:rsid w:val="00945F85"/>
    <w:rsid w:val="00947357"/>
    <w:rsid w:val="00950B19"/>
    <w:rsid w:val="00966D5D"/>
    <w:rsid w:val="009970C5"/>
    <w:rsid w:val="009B1F26"/>
    <w:rsid w:val="009D71FE"/>
    <w:rsid w:val="009D7A7F"/>
    <w:rsid w:val="00A25A19"/>
    <w:rsid w:val="00A508CC"/>
    <w:rsid w:val="00A532EC"/>
    <w:rsid w:val="00A549BC"/>
    <w:rsid w:val="00A66F89"/>
    <w:rsid w:val="00A67D07"/>
    <w:rsid w:val="00AA6214"/>
    <w:rsid w:val="00AB1832"/>
    <w:rsid w:val="00AB55CF"/>
    <w:rsid w:val="00AB7BA8"/>
    <w:rsid w:val="00AE1B56"/>
    <w:rsid w:val="00AF0BF0"/>
    <w:rsid w:val="00AF203E"/>
    <w:rsid w:val="00AF31ED"/>
    <w:rsid w:val="00B032EC"/>
    <w:rsid w:val="00B31187"/>
    <w:rsid w:val="00B53F6B"/>
    <w:rsid w:val="00B56CB9"/>
    <w:rsid w:val="00B63FAA"/>
    <w:rsid w:val="00B75DB6"/>
    <w:rsid w:val="00B80312"/>
    <w:rsid w:val="00B90962"/>
    <w:rsid w:val="00BB19C7"/>
    <w:rsid w:val="00BB676E"/>
    <w:rsid w:val="00BC5839"/>
    <w:rsid w:val="00BD53C7"/>
    <w:rsid w:val="00BD7B4C"/>
    <w:rsid w:val="00BE6C2F"/>
    <w:rsid w:val="00BF3DE9"/>
    <w:rsid w:val="00C00B5F"/>
    <w:rsid w:val="00C376C7"/>
    <w:rsid w:val="00C47FE0"/>
    <w:rsid w:val="00C512EF"/>
    <w:rsid w:val="00C5370A"/>
    <w:rsid w:val="00C53C17"/>
    <w:rsid w:val="00C56B46"/>
    <w:rsid w:val="00C63F7A"/>
    <w:rsid w:val="00C779DD"/>
    <w:rsid w:val="00C82791"/>
    <w:rsid w:val="00CC6047"/>
    <w:rsid w:val="00CE54B2"/>
    <w:rsid w:val="00D0591C"/>
    <w:rsid w:val="00D1468E"/>
    <w:rsid w:val="00D20067"/>
    <w:rsid w:val="00D24274"/>
    <w:rsid w:val="00D45439"/>
    <w:rsid w:val="00D5006A"/>
    <w:rsid w:val="00D60092"/>
    <w:rsid w:val="00D806C6"/>
    <w:rsid w:val="00DB0ADF"/>
    <w:rsid w:val="00DB3049"/>
    <w:rsid w:val="00DC753E"/>
    <w:rsid w:val="00DD577A"/>
    <w:rsid w:val="00E1250C"/>
    <w:rsid w:val="00E16027"/>
    <w:rsid w:val="00E274C6"/>
    <w:rsid w:val="00E31B0C"/>
    <w:rsid w:val="00E42652"/>
    <w:rsid w:val="00E4281F"/>
    <w:rsid w:val="00E66C90"/>
    <w:rsid w:val="00E86E8C"/>
    <w:rsid w:val="00E93AE0"/>
    <w:rsid w:val="00EA3B39"/>
    <w:rsid w:val="00EA7C84"/>
    <w:rsid w:val="00EF7EFB"/>
    <w:rsid w:val="00F267F0"/>
    <w:rsid w:val="00F32E47"/>
    <w:rsid w:val="00F4662E"/>
    <w:rsid w:val="00F578C4"/>
    <w:rsid w:val="00F67770"/>
    <w:rsid w:val="00F754F2"/>
    <w:rsid w:val="00F76430"/>
    <w:rsid w:val="00F8298E"/>
    <w:rsid w:val="00F84898"/>
    <w:rsid w:val="00F876EC"/>
    <w:rsid w:val="00F90111"/>
    <w:rsid w:val="00FB07DC"/>
    <w:rsid w:val="00FB60DC"/>
    <w:rsid w:val="00FC4281"/>
    <w:rsid w:val="00FD7210"/>
    <w:rsid w:val="00FE3EA7"/>
    <w:rsid w:val="00FF25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E739A4"/>
  <w15:chartTrackingRefBased/>
  <w15:docId w15:val="{3D40CAE4-1DD5-4197-91AA-22A8BB48E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Dot pt,No Spacing1,List Paragraph1,List Paragraph Char Char Char,Indicator Text,Bullet 1,Numbered Para 1,Bullet Points,MAIN CONTENT,List Paragraph12,Bullet Style,F5 List Paragraph,OBC Bullet,List Paragraph11,Colorful List - Accent 11,L,L1"/>
    <w:basedOn w:val="Normal"/>
    <w:link w:val="ListParagraphChar"/>
    <w:uiPriority w:val="34"/>
    <w:qFormat/>
    <w:rsid w:val="004212B9"/>
    <w:pPr>
      <w:spacing w:after="0" w:line="240" w:lineRule="auto"/>
      <w:ind w:left="720"/>
      <w:contextualSpacing/>
    </w:pPr>
    <w:rPr>
      <w:rFonts w:ascii="Calibri" w:hAnsi="Calibri" w:cs="Times New Roman"/>
    </w:rPr>
  </w:style>
  <w:style w:type="character" w:customStyle="1" w:styleId="ListParagraphChar">
    <w:name w:val="List Paragraph Char"/>
    <w:aliases w:val="Dot pt Char,No Spacing1 Char,List Paragraph1 Char,List Paragraph Char Char Char Char,Indicator Text Char,Bullet 1 Char,Numbered Para 1 Char,Bullet Points Char,MAIN CONTENT Char,List Paragraph12 Char,Bullet Style Char,OBC Bullet Char"/>
    <w:link w:val="ListParagraph"/>
    <w:uiPriority w:val="34"/>
    <w:qFormat/>
    <w:locked/>
    <w:rsid w:val="004212B9"/>
    <w:rPr>
      <w:rFonts w:ascii="Calibri" w:hAnsi="Calibri" w:cs="Times New Roman"/>
    </w:rPr>
  </w:style>
  <w:style w:type="paragraph" w:styleId="BalloonText">
    <w:name w:val="Balloon Text"/>
    <w:basedOn w:val="Normal"/>
    <w:link w:val="BalloonTextChar"/>
    <w:uiPriority w:val="99"/>
    <w:semiHidden/>
    <w:unhideWhenUsed/>
    <w:rsid w:val="00D454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5439"/>
    <w:rPr>
      <w:rFonts w:ascii="Segoe UI" w:hAnsi="Segoe UI" w:cs="Segoe UI"/>
      <w:sz w:val="18"/>
      <w:szCs w:val="18"/>
    </w:rPr>
  </w:style>
  <w:style w:type="paragraph" w:styleId="Header">
    <w:name w:val="header"/>
    <w:basedOn w:val="Normal"/>
    <w:link w:val="HeaderChar"/>
    <w:uiPriority w:val="99"/>
    <w:unhideWhenUsed/>
    <w:rsid w:val="00A508CC"/>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08CC"/>
  </w:style>
  <w:style w:type="paragraph" w:styleId="Footer">
    <w:name w:val="footer"/>
    <w:basedOn w:val="Normal"/>
    <w:link w:val="FooterChar"/>
    <w:uiPriority w:val="99"/>
    <w:unhideWhenUsed/>
    <w:rsid w:val="00A508C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08CC"/>
  </w:style>
  <w:style w:type="character" w:styleId="CommentReference">
    <w:name w:val="annotation reference"/>
    <w:basedOn w:val="DefaultParagraphFont"/>
    <w:uiPriority w:val="99"/>
    <w:semiHidden/>
    <w:unhideWhenUsed/>
    <w:rsid w:val="00D60092"/>
    <w:rPr>
      <w:sz w:val="16"/>
      <w:szCs w:val="16"/>
    </w:rPr>
  </w:style>
  <w:style w:type="paragraph" w:styleId="CommentText">
    <w:name w:val="annotation text"/>
    <w:basedOn w:val="Normal"/>
    <w:link w:val="CommentTextChar"/>
    <w:uiPriority w:val="99"/>
    <w:unhideWhenUsed/>
    <w:rsid w:val="00D60092"/>
    <w:pPr>
      <w:spacing w:line="240" w:lineRule="auto"/>
    </w:pPr>
    <w:rPr>
      <w:sz w:val="20"/>
      <w:szCs w:val="20"/>
    </w:rPr>
  </w:style>
  <w:style w:type="character" w:customStyle="1" w:styleId="CommentTextChar">
    <w:name w:val="Comment Text Char"/>
    <w:basedOn w:val="DefaultParagraphFont"/>
    <w:link w:val="CommentText"/>
    <w:uiPriority w:val="99"/>
    <w:rsid w:val="00D60092"/>
    <w:rPr>
      <w:sz w:val="20"/>
      <w:szCs w:val="20"/>
    </w:rPr>
  </w:style>
  <w:style w:type="paragraph" w:styleId="CommentSubject">
    <w:name w:val="annotation subject"/>
    <w:basedOn w:val="CommentText"/>
    <w:next w:val="CommentText"/>
    <w:link w:val="CommentSubjectChar"/>
    <w:uiPriority w:val="99"/>
    <w:semiHidden/>
    <w:unhideWhenUsed/>
    <w:rsid w:val="00D60092"/>
    <w:rPr>
      <w:b/>
      <w:bCs/>
    </w:rPr>
  </w:style>
  <w:style w:type="character" w:customStyle="1" w:styleId="CommentSubjectChar">
    <w:name w:val="Comment Subject Char"/>
    <w:basedOn w:val="CommentTextChar"/>
    <w:link w:val="CommentSubject"/>
    <w:uiPriority w:val="99"/>
    <w:semiHidden/>
    <w:rsid w:val="00D60092"/>
    <w:rPr>
      <w:b/>
      <w:bCs/>
      <w:sz w:val="20"/>
      <w:szCs w:val="20"/>
    </w:rPr>
  </w:style>
  <w:style w:type="character" w:styleId="Hyperlink">
    <w:name w:val="Hyperlink"/>
    <w:basedOn w:val="DefaultParagraphFont"/>
    <w:uiPriority w:val="99"/>
    <w:unhideWhenUsed/>
    <w:rsid w:val="00BB19C7"/>
    <w:rPr>
      <w:color w:val="0563C1" w:themeColor="hyperlink"/>
      <w:u w:val="single"/>
    </w:rPr>
  </w:style>
  <w:style w:type="character" w:customStyle="1" w:styleId="UnresolvedMention1">
    <w:name w:val="Unresolved Mention1"/>
    <w:basedOn w:val="DefaultParagraphFont"/>
    <w:uiPriority w:val="99"/>
    <w:semiHidden/>
    <w:unhideWhenUsed/>
    <w:rsid w:val="00BB19C7"/>
    <w:rPr>
      <w:color w:val="605E5C"/>
      <w:shd w:val="clear" w:color="auto" w:fill="E1DFDD"/>
    </w:rPr>
  </w:style>
  <w:style w:type="table" w:styleId="TableGrid">
    <w:name w:val="Table Grid"/>
    <w:basedOn w:val="TableNormal"/>
    <w:uiPriority w:val="39"/>
    <w:rsid w:val="00F754F2"/>
    <w:pPr>
      <w:spacing w:after="0" w:line="240" w:lineRule="auto"/>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311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811493">
      <w:bodyDiv w:val="1"/>
      <w:marLeft w:val="0"/>
      <w:marRight w:val="0"/>
      <w:marTop w:val="0"/>
      <w:marBottom w:val="0"/>
      <w:divBdr>
        <w:top w:val="none" w:sz="0" w:space="0" w:color="auto"/>
        <w:left w:val="none" w:sz="0" w:space="0" w:color="auto"/>
        <w:bottom w:val="none" w:sz="0" w:space="0" w:color="auto"/>
        <w:right w:val="none" w:sz="0" w:space="0" w:color="auto"/>
      </w:divBdr>
      <w:divsChild>
        <w:div w:id="1748112305">
          <w:marLeft w:val="0"/>
          <w:marRight w:val="0"/>
          <w:marTop w:val="0"/>
          <w:marBottom w:val="0"/>
          <w:divBdr>
            <w:top w:val="none" w:sz="0" w:space="0" w:color="auto"/>
            <w:left w:val="none" w:sz="0" w:space="0" w:color="auto"/>
            <w:bottom w:val="none" w:sz="0" w:space="0" w:color="auto"/>
            <w:right w:val="none" w:sz="0" w:space="0" w:color="auto"/>
          </w:divBdr>
        </w:div>
      </w:divsChild>
    </w:div>
    <w:div w:id="392853252">
      <w:bodyDiv w:val="1"/>
      <w:marLeft w:val="0"/>
      <w:marRight w:val="0"/>
      <w:marTop w:val="0"/>
      <w:marBottom w:val="0"/>
      <w:divBdr>
        <w:top w:val="none" w:sz="0" w:space="0" w:color="auto"/>
        <w:left w:val="none" w:sz="0" w:space="0" w:color="auto"/>
        <w:bottom w:val="none" w:sz="0" w:space="0" w:color="auto"/>
        <w:right w:val="none" w:sz="0" w:space="0" w:color="auto"/>
      </w:divBdr>
    </w:div>
    <w:div w:id="418873071">
      <w:bodyDiv w:val="1"/>
      <w:marLeft w:val="0"/>
      <w:marRight w:val="0"/>
      <w:marTop w:val="0"/>
      <w:marBottom w:val="0"/>
      <w:divBdr>
        <w:top w:val="none" w:sz="0" w:space="0" w:color="auto"/>
        <w:left w:val="none" w:sz="0" w:space="0" w:color="auto"/>
        <w:bottom w:val="none" w:sz="0" w:space="0" w:color="auto"/>
        <w:right w:val="none" w:sz="0" w:space="0" w:color="auto"/>
      </w:divBdr>
    </w:div>
    <w:div w:id="662777506">
      <w:bodyDiv w:val="1"/>
      <w:marLeft w:val="0"/>
      <w:marRight w:val="0"/>
      <w:marTop w:val="0"/>
      <w:marBottom w:val="0"/>
      <w:divBdr>
        <w:top w:val="none" w:sz="0" w:space="0" w:color="auto"/>
        <w:left w:val="none" w:sz="0" w:space="0" w:color="auto"/>
        <w:bottom w:val="none" w:sz="0" w:space="0" w:color="auto"/>
        <w:right w:val="none" w:sz="0" w:space="0" w:color="auto"/>
      </w:divBdr>
    </w:div>
    <w:div w:id="799036602">
      <w:bodyDiv w:val="1"/>
      <w:marLeft w:val="0"/>
      <w:marRight w:val="0"/>
      <w:marTop w:val="0"/>
      <w:marBottom w:val="0"/>
      <w:divBdr>
        <w:top w:val="none" w:sz="0" w:space="0" w:color="auto"/>
        <w:left w:val="none" w:sz="0" w:space="0" w:color="auto"/>
        <w:bottom w:val="none" w:sz="0" w:space="0" w:color="auto"/>
        <w:right w:val="none" w:sz="0" w:space="0" w:color="auto"/>
      </w:divBdr>
    </w:div>
    <w:div w:id="853543844">
      <w:bodyDiv w:val="1"/>
      <w:marLeft w:val="0"/>
      <w:marRight w:val="0"/>
      <w:marTop w:val="0"/>
      <w:marBottom w:val="0"/>
      <w:divBdr>
        <w:top w:val="none" w:sz="0" w:space="0" w:color="auto"/>
        <w:left w:val="none" w:sz="0" w:space="0" w:color="auto"/>
        <w:bottom w:val="none" w:sz="0" w:space="0" w:color="auto"/>
        <w:right w:val="none" w:sz="0" w:space="0" w:color="auto"/>
      </w:divBdr>
    </w:div>
    <w:div w:id="925043447">
      <w:bodyDiv w:val="1"/>
      <w:marLeft w:val="0"/>
      <w:marRight w:val="0"/>
      <w:marTop w:val="0"/>
      <w:marBottom w:val="0"/>
      <w:divBdr>
        <w:top w:val="none" w:sz="0" w:space="0" w:color="auto"/>
        <w:left w:val="none" w:sz="0" w:space="0" w:color="auto"/>
        <w:bottom w:val="none" w:sz="0" w:space="0" w:color="auto"/>
        <w:right w:val="none" w:sz="0" w:space="0" w:color="auto"/>
      </w:divBdr>
    </w:div>
    <w:div w:id="2028169211">
      <w:bodyDiv w:val="1"/>
      <w:marLeft w:val="0"/>
      <w:marRight w:val="0"/>
      <w:marTop w:val="0"/>
      <w:marBottom w:val="0"/>
      <w:divBdr>
        <w:top w:val="none" w:sz="0" w:space="0" w:color="auto"/>
        <w:left w:val="none" w:sz="0" w:space="0" w:color="auto"/>
        <w:bottom w:val="none" w:sz="0" w:space="0" w:color="auto"/>
        <w:right w:val="none" w:sz="0" w:space="0" w:color="auto"/>
      </w:divBdr>
      <w:divsChild>
        <w:div w:id="19894344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5.emf"/><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package" Target="embeddings/Microsoft_PowerPoint_Presentation.pptx"/><Relationship Id="rId7" Type="http://schemas.openxmlformats.org/officeDocument/2006/relationships/settings" Target="settings.xml"/><Relationship Id="rId12" Type="http://schemas.openxmlformats.org/officeDocument/2006/relationships/package" Target="embeddings/Microsoft_Word_Document.docx"/><Relationship Id="rId17" Type="http://schemas.openxmlformats.org/officeDocument/2006/relationships/package" Target="embeddings/Microsoft_Word_Document2.docx"/><Relationship Id="rId25" Type="http://schemas.openxmlformats.org/officeDocument/2006/relationships/hyperlink" Target="mailto:COVID19.RegimesOpsGuidance1@justice.gov.uk"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s://hmppsintranet.org.uk/ersd-guidance/stage-1/"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package" Target="embeddings/Microsoft_Word_Document1.docx"/><Relationship Id="rId23" Type="http://schemas.openxmlformats.org/officeDocument/2006/relationships/oleObject" Target="embeddings/oleObject1.bin"/><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package" Target="embeddings/Microsoft_Word_Document3.docx"/><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header" Target="header2.xml"/><Relationship Id="rId30" Type="http://schemas.openxmlformats.org/officeDocument/2006/relationships/header" Target="header3.xml"/><Relationship Id="rId35"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9E3FC0209C3E04795BC26C6D388A400" ma:contentTypeVersion="13" ma:contentTypeDescription="Create a new document." ma:contentTypeScope="" ma:versionID="ea30b83212f51ee0ab913e5616ceafb5">
  <xsd:schema xmlns:xsd="http://www.w3.org/2001/XMLSchema" xmlns:xs="http://www.w3.org/2001/XMLSchema" xmlns:p="http://schemas.microsoft.com/office/2006/metadata/properties" xmlns:ns3="80b4204d-8db7-4809-a4c4-7914704a9d2c" xmlns:ns4="b010cd66-f127-4841-bac0-4c0fad6dd233" targetNamespace="http://schemas.microsoft.com/office/2006/metadata/properties" ma:root="true" ma:fieldsID="8b261cbc4b89ae64463e1b721e48f6c2" ns3:_="" ns4:_="">
    <xsd:import namespace="80b4204d-8db7-4809-a4c4-7914704a9d2c"/>
    <xsd:import namespace="b010cd66-f127-4841-bac0-4c0fad6dd23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b4204d-8db7-4809-a4c4-7914704a9d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010cd66-f127-4841-bac0-4c0fad6dd23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CF01F0-0487-4F58-96F6-218AE7CC958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C7093EC-8EA1-4D03-B969-7A0229A56073}">
  <ds:schemaRefs>
    <ds:schemaRef ds:uri="http://schemas.microsoft.com/sharepoint/v3/contenttype/forms"/>
  </ds:schemaRefs>
</ds:datastoreItem>
</file>

<file path=customXml/itemProps3.xml><?xml version="1.0" encoding="utf-8"?>
<ds:datastoreItem xmlns:ds="http://schemas.openxmlformats.org/officeDocument/2006/customXml" ds:itemID="{D5C996B4-3C95-4F42-BA1A-FF3CC15FDA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b4204d-8db7-4809-a4c4-7914704a9d2c"/>
    <ds:schemaRef ds:uri="b010cd66-f127-4841-bac0-4c0fad6dd2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88B960F-F8B9-4768-BCD3-281493212A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Pages>
  <Words>1884</Words>
  <Characters>10742</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Blake, Sian</dc:creator>
  <cp:keywords/>
  <dc:description/>
  <cp:lastModifiedBy>Bruski, Milosz</cp:lastModifiedBy>
  <cp:revision>6</cp:revision>
  <dcterms:created xsi:type="dcterms:W3CDTF">2021-07-29T11:54:00Z</dcterms:created>
  <dcterms:modified xsi:type="dcterms:W3CDTF">2021-07-29T11:58:00Z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0x01010029E3FC0209C3E04795BC26C6D388A400</vt:lpwstr>
  </property>
</Properties>
</file>