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FB43" w14:textId="77777777" w:rsidR="003E16EA" w:rsidRDefault="003E16EA">
      <w:pPr>
        <w:rPr>
          <w:rFonts w:ascii="Arial" w:hAnsi="Arial" w:cs="Arial"/>
        </w:rPr>
      </w:pPr>
    </w:p>
    <w:p w14:paraId="75416B9B" w14:textId="0B2BC094" w:rsidR="003E16EA" w:rsidRDefault="005708D2">
      <w:pPr>
        <w:rPr>
          <w:rFonts w:ascii="Arial" w:hAnsi="Arial" w:cs="Arial"/>
        </w:rPr>
      </w:pPr>
      <w:r w:rsidRPr="00335D98">
        <w:rPr>
          <w:bCs/>
          <w:noProof/>
          <w:lang w:eastAsia="en-GB"/>
        </w:rPr>
        <w:drawing>
          <wp:anchor distT="0" distB="0" distL="114300" distR="114300" simplePos="0" relativeHeight="251659264" behindDoc="1" locked="1" layoutInCell="1" allowOverlap="1" wp14:anchorId="2887AF03" wp14:editId="199CFF1C">
            <wp:simplePos x="0" y="0"/>
            <wp:positionH relativeFrom="page">
              <wp:align>right</wp:align>
            </wp:positionH>
            <wp:positionV relativeFrom="page">
              <wp:posOffset>1011555</wp:posOffset>
            </wp:positionV>
            <wp:extent cx="7560310" cy="1200150"/>
            <wp:effectExtent l="0" t="0" r="2540" b="0"/>
            <wp:wrapNone/>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8"/>
                    <pic:cNvPicPr>
                      <a:picLocks/>
                    </pic:cNvPicPr>
                  </pic:nvPicPr>
                  <pic:blipFill>
                    <a:blip r:embed="rId8" cstate="print">
                      <a:alphaModFix amt="33000"/>
                      <a:extLst>
                        <a:ext uri="{28A0092B-C50C-407E-A947-70E740481C1C}">
                          <a14:useLocalDpi xmlns:a14="http://schemas.microsoft.com/office/drawing/2010/main" val="0"/>
                        </a:ext>
                      </a:extLst>
                    </a:blip>
                    <a:stretch>
                      <a:fillRect/>
                    </a:stretch>
                  </pic:blipFill>
                  <pic:spPr bwMode="auto">
                    <a:xfrm>
                      <a:off x="0" y="0"/>
                      <a:ext cx="756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FE478" w14:textId="6517D235" w:rsidR="003E16EA" w:rsidRPr="003E16EA" w:rsidRDefault="003E16EA" w:rsidP="00445DDD">
      <w:pPr>
        <w:spacing w:before="240" w:after="0" w:line="280" w:lineRule="atLeast"/>
        <w:rPr>
          <w:rFonts w:ascii="Arial" w:hAnsi="Arial" w:cs="Arial"/>
          <w:b/>
          <w:bCs/>
          <w:sz w:val="36"/>
          <w:szCs w:val="36"/>
        </w:rPr>
      </w:pPr>
      <w:r w:rsidRPr="003E16EA">
        <w:rPr>
          <w:rFonts w:ascii="Arial" w:hAnsi="Arial" w:cs="Arial"/>
          <w:b/>
          <w:bCs/>
          <w:sz w:val="36"/>
          <w:szCs w:val="36"/>
        </w:rPr>
        <w:t>Funeral Escorts and Visiting Dying Relatives</w:t>
      </w:r>
    </w:p>
    <w:p w14:paraId="5DE82AAC" w14:textId="559D5E57" w:rsidR="003E16EA" w:rsidRPr="003E16EA" w:rsidRDefault="003E16EA" w:rsidP="003E16EA">
      <w:pPr>
        <w:spacing w:after="0" w:line="280" w:lineRule="atLeast"/>
        <w:rPr>
          <w:rFonts w:ascii="Arial" w:hAnsi="Arial" w:cs="Arial"/>
          <w:b/>
          <w:bCs/>
          <w:sz w:val="28"/>
          <w:szCs w:val="28"/>
        </w:rPr>
      </w:pPr>
      <w:r>
        <w:rPr>
          <w:rFonts w:ascii="Arial" w:hAnsi="Arial" w:cs="Arial"/>
          <w:b/>
          <w:bCs/>
          <w:sz w:val="28"/>
          <w:szCs w:val="28"/>
        </w:rPr>
        <w:br/>
      </w:r>
      <w:r w:rsidRPr="003E16EA">
        <w:rPr>
          <w:rFonts w:ascii="Arial" w:hAnsi="Arial" w:cs="Arial"/>
          <w:b/>
          <w:bCs/>
          <w:sz w:val="28"/>
          <w:szCs w:val="28"/>
        </w:rPr>
        <w:t>Updated COVID-19 Guidance – May 2021</w:t>
      </w:r>
    </w:p>
    <w:p w14:paraId="08221546" w14:textId="77777777" w:rsidR="003E16EA" w:rsidRDefault="003E16EA">
      <w:pPr>
        <w:rPr>
          <w:rFonts w:ascii="Arial" w:hAnsi="Arial" w:cs="Arial"/>
        </w:rPr>
      </w:pPr>
    </w:p>
    <w:p w14:paraId="7A0E38E2" w14:textId="5D9504ED" w:rsidR="00AF7291" w:rsidRPr="00252276" w:rsidRDefault="00AF7291" w:rsidP="00252276">
      <w:pPr>
        <w:spacing w:after="0" w:line="280" w:lineRule="atLeast"/>
        <w:contextualSpacing/>
        <w:mirrorIndents/>
        <w:rPr>
          <w:rFonts w:ascii="Arial" w:hAnsi="Arial" w:cs="Arial"/>
          <w:b/>
        </w:rPr>
      </w:pPr>
      <w:r w:rsidRPr="00252276">
        <w:rPr>
          <w:rFonts w:ascii="Arial" w:hAnsi="Arial" w:cs="Arial"/>
          <w:b/>
        </w:rPr>
        <w:t>Purpose of guidance</w:t>
      </w:r>
    </w:p>
    <w:p w14:paraId="170E1078" w14:textId="77777777" w:rsidR="008A4709" w:rsidRPr="00252276" w:rsidRDefault="008A4709" w:rsidP="00252276">
      <w:pPr>
        <w:spacing w:after="0" w:line="280" w:lineRule="atLeast"/>
        <w:contextualSpacing/>
        <w:rPr>
          <w:rFonts w:ascii="Arial" w:hAnsi="Arial" w:cs="Arial"/>
          <w:bCs/>
        </w:rPr>
      </w:pPr>
    </w:p>
    <w:p w14:paraId="5333631F" w14:textId="6BA6B1F6" w:rsidR="00ED3043" w:rsidRPr="00252276" w:rsidRDefault="00971544" w:rsidP="00252276">
      <w:pPr>
        <w:pStyle w:val="ListParagraph"/>
        <w:numPr>
          <w:ilvl w:val="0"/>
          <w:numId w:val="6"/>
        </w:numPr>
        <w:spacing w:after="0" w:line="280" w:lineRule="atLeast"/>
        <w:rPr>
          <w:rFonts w:ascii="Arial" w:hAnsi="Arial" w:cs="Arial"/>
          <w:bCs/>
        </w:rPr>
      </w:pPr>
      <w:r w:rsidRPr="00252276">
        <w:rPr>
          <w:rFonts w:ascii="Arial" w:hAnsi="Arial" w:cs="Arial"/>
          <w:bCs/>
        </w:rPr>
        <w:t xml:space="preserve">To provide updated guidance on funeral escorts and </w:t>
      </w:r>
      <w:r w:rsidR="005973CC" w:rsidRPr="00252276">
        <w:rPr>
          <w:rFonts w:ascii="Arial" w:hAnsi="Arial" w:cs="Arial"/>
          <w:bCs/>
        </w:rPr>
        <w:t xml:space="preserve">on </w:t>
      </w:r>
      <w:r w:rsidRPr="00252276">
        <w:rPr>
          <w:rFonts w:ascii="Arial" w:hAnsi="Arial" w:cs="Arial"/>
          <w:bCs/>
        </w:rPr>
        <w:t>prisoners visiting dying</w:t>
      </w:r>
      <w:r w:rsidR="00D15CDD" w:rsidRPr="00252276">
        <w:rPr>
          <w:rFonts w:ascii="Arial" w:hAnsi="Arial" w:cs="Arial"/>
          <w:bCs/>
        </w:rPr>
        <w:t xml:space="preserve"> relatives</w:t>
      </w:r>
      <w:r w:rsidR="004E5B68" w:rsidRPr="00252276">
        <w:rPr>
          <w:rFonts w:ascii="Arial" w:hAnsi="Arial" w:cs="Arial"/>
          <w:bCs/>
        </w:rPr>
        <w:t xml:space="preserve">, in line </w:t>
      </w:r>
      <w:r w:rsidR="00D15CDD" w:rsidRPr="00252276">
        <w:rPr>
          <w:rFonts w:ascii="Arial" w:hAnsi="Arial" w:cs="Arial"/>
          <w:bCs/>
        </w:rPr>
        <w:t>w</w:t>
      </w:r>
      <w:r w:rsidR="004E5B68" w:rsidRPr="00252276">
        <w:rPr>
          <w:rFonts w:ascii="Arial" w:hAnsi="Arial" w:cs="Arial"/>
          <w:bCs/>
        </w:rPr>
        <w:t xml:space="preserve">ith government community guidelines. </w:t>
      </w:r>
    </w:p>
    <w:p w14:paraId="12F9ABC3" w14:textId="77777777" w:rsidR="005973CC" w:rsidRPr="00252276" w:rsidRDefault="005973CC" w:rsidP="00252276">
      <w:pPr>
        <w:pStyle w:val="ListParagraph"/>
        <w:spacing w:after="0" w:line="280" w:lineRule="atLeast"/>
        <w:rPr>
          <w:rFonts w:ascii="Arial" w:hAnsi="Arial" w:cs="Arial"/>
          <w:bCs/>
        </w:rPr>
      </w:pPr>
    </w:p>
    <w:p w14:paraId="5E831F9C" w14:textId="1D4F6B71" w:rsidR="00ED3043" w:rsidRPr="00252276" w:rsidRDefault="00ED3043" w:rsidP="00252276">
      <w:pPr>
        <w:pStyle w:val="ListParagraph"/>
        <w:numPr>
          <w:ilvl w:val="0"/>
          <w:numId w:val="6"/>
        </w:numPr>
        <w:spacing w:after="0" w:line="280" w:lineRule="atLeast"/>
        <w:mirrorIndents/>
        <w:rPr>
          <w:rFonts w:ascii="Arial" w:hAnsi="Arial" w:cs="Arial"/>
        </w:rPr>
      </w:pPr>
      <w:r w:rsidRPr="00252276">
        <w:rPr>
          <w:rFonts w:ascii="Arial" w:hAnsi="Arial" w:cs="Arial"/>
        </w:rPr>
        <w:t xml:space="preserve">In some cases, prisoners may be given Release on Temporary Licence (ROTL) to attend a funeral or visit a dying relative. </w:t>
      </w:r>
      <w:r w:rsidR="00453BBB" w:rsidRPr="00252276">
        <w:rPr>
          <w:rFonts w:ascii="Arial" w:hAnsi="Arial" w:cs="Arial"/>
        </w:rPr>
        <w:t>T</w:t>
      </w:r>
      <w:r w:rsidRPr="00252276">
        <w:rPr>
          <w:rFonts w:ascii="Arial" w:hAnsi="Arial" w:cs="Arial"/>
        </w:rPr>
        <w:t>hey may apply for an escort for the funeral or to visit their dying relative</w:t>
      </w:r>
      <w:r w:rsidR="00453BBB" w:rsidRPr="00252276">
        <w:rPr>
          <w:rFonts w:ascii="Arial" w:hAnsi="Arial" w:cs="Arial"/>
        </w:rPr>
        <w:t xml:space="preserve"> </w:t>
      </w:r>
      <w:r w:rsidR="00ED7DCD" w:rsidRPr="00252276">
        <w:rPr>
          <w:rFonts w:ascii="Arial" w:hAnsi="Arial" w:cs="Arial"/>
        </w:rPr>
        <w:t>i</w:t>
      </w:r>
      <w:r w:rsidR="00453BBB" w:rsidRPr="00252276">
        <w:rPr>
          <w:rFonts w:ascii="Arial" w:hAnsi="Arial" w:cs="Arial"/>
        </w:rPr>
        <w:t>f they are not otherwise suitable for ROTL</w:t>
      </w:r>
      <w:r w:rsidRPr="00252276">
        <w:rPr>
          <w:rFonts w:ascii="Arial" w:hAnsi="Arial" w:cs="Arial"/>
        </w:rPr>
        <w:t xml:space="preserve">. This guidance applies only to funeral escorts; separate </w:t>
      </w:r>
      <w:hyperlink r:id="rId9" w:history="1">
        <w:r w:rsidRPr="00252276">
          <w:rPr>
            <w:rStyle w:val="Hyperlink"/>
            <w:rFonts w:ascii="Arial" w:hAnsi="Arial" w:cs="Arial"/>
          </w:rPr>
          <w:t>guidance on ROTL</w:t>
        </w:r>
      </w:hyperlink>
      <w:r w:rsidRPr="00252276">
        <w:rPr>
          <w:rFonts w:ascii="Arial" w:hAnsi="Arial" w:cs="Arial"/>
        </w:rPr>
        <w:t xml:space="preserve"> is available.</w:t>
      </w:r>
    </w:p>
    <w:p w14:paraId="2E8EC4E2" w14:textId="77777777" w:rsidR="00ED3043" w:rsidRPr="00252276" w:rsidRDefault="00ED3043" w:rsidP="00252276">
      <w:pPr>
        <w:spacing w:after="0" w:line="280" w:lineRule="atLeast"/>
        <w:contextualSpacing/>
        <w:mirrorIndents/>
        <w:rPr>
          <w:rFonts w:ascii="Arial" w:hAnsi="Arial" w:cs="Arial"/>
          <w:bCs/>
        </w:rPr>
      </w:pPr>
    </w:p>
    <w:p w14:paraId="4A30EADA" w14:textId="47D4174D" w:rsidR="00ED3043" w:rsidRPr="00252276" w:rsidRDefault="00ED3043" w:rsidP="00252276">
      <w:pPr>
        <w:spacing w:after="0" w:line="280" w:lineRule="atLeast"/>
        <w:contextualSpacing/>
        <w:mirrorIndents/>
        <w:rPr>
          <w:rFonts w:ascii="Arial" w:hAnsi="Arial" w:cs="Arial"/>
        </w:rPr>
      </w:pPr>
      <w:r w:rsidRPr="00252276">
        <w:rPr>
          <w:rFonts w:ascii="Arial" w:hAnsi="Arial" w:cs="Arial"/>
          <w:bCs/>
        </w:rPr>
        <w:t xml:space="preserve">This information should be read in conjunction with </w:t>
      </w:r>
      <w:hyperlink r:id="rId10" w:history="1">
        <w:r w:rsidRPr="00252276">
          <w:rPr>
            <w:rStyle w:val="Hyperlink"/>
            <w:rFonts w:ascii="Arial" w:hAnsi="Arial" w:cs="Arial"/>
            <w:bCs/>
          </w:rPr>
          <w:t>PSI 33/2015 – External Prisoner Movement</w:t>
        </w:r>
      </w:hyperlink>
      <w:r w:rsidRPr="00252276">
        <w:rPr>
          <w:rFonts w:ascii="Arial" w:hAnsi="Arial" w:cs="Arial"/>
          <w:bCs/>
        </w:rPr>
        <w:t xml:space="preserve">. </w:t>
      </w:r>
    </w:p>
    <w:p w14:paraId="397C48E7" w14:textId="2AAD326B" w:rsidR="00A358D8" w:rsidRPr="00252276" w:rsidRDefault="00A358D8" w:rsidP="00252276">
      <w:pPr>
        <w:spacing w:after="0" w:line="280" w:lineRule="atLeast"/>
        <w:ind w:left="360"/>
        <w:contextualSpacing/>
        <w:rPr>
          <w:rFonts w:ascii="Arial" w:hAnsi="Arial" w:cs="Arial"/>
          <w:bCs/>
        </w:rPr>
      </w:pPr>
    </w:p>
    <w:p w14:paraId="66B772CE" w14:textId="7361DE8B" w:rsidR="00422098" w:rsidRPr="00252276" w:rsidRDefault="00422098" w:rsidP="00252276">
      <w:pPr>
        <w:spacing w:after="0" w:line="280" w:lineRule="atLeast"/>
        <w:contextualSpacing/>
        <w:mirrorIndents/>
        <w:rPr>
          <w:rFonts w:ascii="Arial" w:hAnsi="Arial" w:cs="Arial"/>
          <w:b/>
        </w:rPr>
      </w:pPr>
      <w:r w:rsidRPr="00252276">
        <w:rPr>
          <w:rFonts w:ascii="Arial" w:hAnsi="Arial" w:cs="Arial"/>
          <w:b/>
        </w:rPr>
        <w:t>Current situation</w:t>
      </w:r>
    </w:p>
    <w:p w14:paraId="6EB64AF5" w14:textId="77777777" w:rsidR="008A4709" w:rsidRPr="00252276" w:rsidRDefault="008A4709" w:rsidP="00252276">
      <w:pPr>
        <w:spacing w:after="0" w:line="280" w:lineRule="atLeast"/>
        <w:contextualSpacing/>
        <w:rPr>
          <w:rFonts w:ascii="Arial" w:hAnsi="Arial" w:cs="Arial"/>
          <w:bCs/>
        </w:rPr>
      </w:pPr>
    </w:p>
    <w:p w14:paraId="146B6D34" w14:textId="7DD4AB42" w:rsidR="0079666E" w:rsidRPr="00252276" w:rsidRDefault="00ED7DCD" w:rsidP="00252276">
      <w:pPr>
        <w:spacing w:after="0" w:line="280" w:lineRule="atLeast"/>
        <w:contextualSpacing/>
        <w:rPr>
          <w:rFonts w:ascii="Arial" w:hAnsi="Arial" w:cs="Arial"/>
          <w:bCs/>
        </w:rPr>
      </w:pPr>
      <w:r w:rsidRPr="00252276">
        <w:rPr>
          <w:rFonts w:ascii="Arial" w:hAnsi="Arial" w:cs="Arial"/>
          <w:bCs/>
        </w:rPr>
        <w:t>Currently</w:t>
      </w:r>
      <w:r w:rsidR="00A358D8" w:rsidRPr="00252276">
        <w:rPr>
          <w:rFonts w:ascii="Arial" w:hAnsi="Arial" w:cs="Arial"/>
          <w:bCs/>
        </w:rPr>
        <w:t xml:space="preserve"> in England and Wales, COVID-secure arrangements </w:t>
      </w:r>
      <w:r w:rsidR="00D910A0" w:rsidRPr="00252276">
        <w:rPr>
          <w:rFonts w:ascii="Arial" w:hAnsi="Arial" w:cs="Arial"/>
          <w:bCs/>
        </w:rPr>
        <w:t xml:space="preserve">are </w:t>
      </w:r>
      <w:r w:rsidR="00A358D8" w:rsidRPr="00252276">
        <w:rPr>
          <w:rFonts w:ascii="Arial" w:hAnsi="Arial" w:cs="Arial"/>
          <w:bCs/>
        </w:rPr>
        <w:t xml:space="preserve">in place to allow visits in inpatient settings, such as hospitals. </w:t>
      </w:r>
      <w:r w:rsidR="0079666E" w:rsidRPr="00252276">
        <w:rPr>
          <w:rFonts w:ascii="Arial" w:hAnsi="Arial" w:cs="Arial"/>
          <w:color w:val="0B0C0C"/>
          <w:shd w:val="clear" w:color="auto" w:fill="FFFFFF"/>
        </w:rPr>
        <w:t>From 17</w:t>
      </w:r>
      <w:r w:rsidR="0079666E" w:rsidRPr="00252276">
        <w:rPr>
          <w:rFonts w:ascii="Arial" w:hAnsi="Arial" w:cs="Arial"/>
          <w:color w:val="0B0C0C"/>
          <w:shd w:val="clear" w:color="auto" w:fill="FFFFFF"/>
          <w:vertAlign w:val="superscript"/>
        </w:rPr>
        <w:t>th</w:t>
      </w:r>
      <w:r w:rsidR="0079666E" w:rsidRPr="00252276">
        <w:rPr>
          <w:rFonts w:ascii="Arial" w:hAnsi="Arial" w:cs="Arial"/>
          <w:color w:val="0B0C0C"/>
          <w:shd w:val="clear" w:color="auto" w:fill="FFFFFF"/>
        </w:rPr>
        <w:t xml:space="preserve"> May, the number of attendees at a funeral will be determined by how many people the venue can safely accommodate with social distancing measures in place, including anyone working. There will no longer be a maximum number of attendees defined in regulations. </w:t>
      </w:r>
    </w:p>
    <w:p w14:paraId="521A2BAB" w14:textId="77777777" w:rsidR="0022437C" w:rsidRPr="00252276" w:rsidRDefault="0022437C" w:rsidP="00252276">
      <w:pPr>
        <w:spacing w:after="0" w:line="280" w:lineRule="atLeast"/>
        <w:contextualSpacing/>
        <w:rPr>
          <w:rFonts w:ascii="Arial" w:hAnsi="Arial" w:cs="Arial"/>
          <w:b/>
          <w:u w:val="single"/>
        </w:rPr>
      </w:pPr>
    </w:p>
    <w:p w14:paraId="5E75B3A0" w14:textId="7D1641CB" w:rsidR="005708D2" w:rsidRPr="00252276" w:rsidRDefault="005708D2" w:rsidP="00252276">
      <w:pPr>
        <w:spacing w:after="0" w:line="280" w:lineRule="atLeast"/>
        <w:contextualSpacing/>
        <w:mirrorIndents/>
        <w:rPr>
          <w:rFonts w:ascii="Arial" w:hAnsi="Arial" w:cs="Arial"/>
          <w:b/>
        </w:rPr>
      </w:pPr>
      <w:r w:rsidRPr="00252276">
        <w:rPr>
          <w:rFonts w:ascii="Arial" w:hAnsi="Arial" w:cs="Arial"/>
          <w:b/>
        </w:rPr>
        <w:t xml:space="preserve">Funeral Escorts </w:t>
      </w:r>
    </w:p>
    <w:p w14:paraId="59E70739" w14:textId="77777777" w:rsidR="00240F2A" w:rsidRPr="00252276" w:rsidRDefault="00240F2A" w:rsidP="00252276">
      <w:pPr>
        <w:spacing w:after="0" w:line="280" w:lineRule="atLeast"/>
        <w:contextualSpacing/>
        <w:mirrorIndents/>
        <w:rPr>
          <w:rFonts w:ascii="Arial" w:hAnsi="Arial" w:cs="Arial"/>
          <w:b/>
          <w:u w:val="single"/>
        </w:rPr>
      </w:pPr>
    </w:p>
    <w:p w14:paraId="28FAFBFC" w14:textId="3F1A07DE" w:rsidR="00F33CBA" w:rsidRPr="00252276" w:rsidRDefault="00642084" w:rsidP="00252276">
      <w:pPr>
        <w:spacing w:after="0" w:line="280" w:lineRule="atLeast"/>
        <w:contextualSpacing/>
        <w:mirrorIndents/>
        <w:rPr>
          <w:rFonts w:ascii="Arial" w:hAnsi="Arial" w:cs="Arial"/>
        </w:rPr>
      </w:pPr>
      <w:hyperlink r:id="rId11" w:history="1">
        <w:r w:rsidR="002C2829" w:rsidRPr="00252276">
          <w:rPr>
            <w:rStyle w:val="Hyperlink"/>
            <w:rFonts w:ascii="Arial" w:hAnsi="Arial" w:cs="Arial"/>
          </w:rPr>
          <w:t>PSI 33/2015 – External Prisoner Movement</w:t>
        </w:r>
      </w:hyperlink>
      <w:r w:rsidR="002C2829" w:rsidRPr="00252276">
        <w:rPr>
          <w:rFonts w:ascii="Arial" w:hAnsi="Arial" w:cs="Arial"/>
        </w:rPr>
        <w:t xml:space="preserve"> should continue to be </w:t>
      </w:r>
      <w:r w:rsidR="00C4014F" w:rsidRPr="00252276">
        <w:rPr>
          <w:rFonts w:ascii="Arial" w:hAnsi="Arial" w:cs="Arial"/>
        </w:rPr>
        <w:t>followed</w:t>
      </w:r>
      <w:r w:rsidR="00240F2A" w:rsidRPr="00252276">
        <w:rPr>
          <w:rFonts w:ascii="Arial" w:hAnsi="Arial" w:cs="Arial"/>
        </w:rPr>
        <w:t xml:space="preserve"> </w:t>
      </w:r>
      <w:r w:rsidR="002C2829" w:rsidRPr="00252276">
        <w:rPr>
          <w:rFonts w:ascii="Arial" w:hAnsi="Arial" w:cs="Arial"/>
        </w:rPr>
        <w:t xml:space="preserve">when considering permitting prisoners to attend funerals. </w:t>
      </w:r>
    </w:p>
    <w:p w14:paraId="3C0E3071" w14:textId="77777777" w:rsidR="00F33CBA" w:rsidRPr="00252276" w:rsidRDefault="00F33CBA" w:rsidP="00252276">
      <w:pPr>
        <w:spacing w:after="0" w:line="280" w:lineRule="atLeast"/>
        <w:contextualSpacing/>
        <w:mirrorIndents/>
        <w:rPr>
          <w:rFonts w:ascii="Arial" w:hAnsi="Arial" w:cs="Arial"/>
        </w:rPr>
      </w:pPr>
    </w:p>
    <w:p w14:paraId="4BA83A76" w14:textId="5722D784" w:rsidR="00240F2A" w:rsidRPr="00252276" w:rsidRDefault="003435E4" w:rsidP="00252276">
      <w:pPr>
        <w:spacing w:after="0" w:line="280" w:lineRule="atLeast"/>
        <w:contextualSpacing/>
        <w:mirrorIndents/>
        <w:rPr>
          <w:rFonts w:ascii="Arial" w:hAnsi="Arial" w:cs="Arial"/>
        </w:rPr>
      </w:pPr>
      <w:r w:rsidRPr="00252276">
        <w:rPr>
          <w:rFonts w:ascii="Arial" w:hAnsi="Arial" w:cs="Arial"/>
        </w:rPr>
        <w:t>T</w:t>
      </w:r>
      <w:r w:rsidR="002C2829" w:rsidRPr="00252276">
        <w:rPr>
          <w:rFonts w:ascii="Arial" w:hAnsi="Arial" w:cs="Arial"/>
        </w:rPr>
        <w:t>here is no absolute ban on prisoners in any security category attend</w:t>
      </w:r>
      <w:r w:rsidR="00D26D63" w:rsidRPr="00252276">
        <w:rPr>
          <w:rFonts w:ascii="Arial" w:hAnsi="Arial" w:cs="Arial"/>
        </w:rPr>
        <w:t>ing</w:t>
      </w:r>
      <w:r w:rsidR="002C2829" w:rsidRPr="00252276">
        <w:rPr>
          <w:rFonts w:ascii="Arial" w:hAnsi="Arial" w:cs="Arial"/>
        </w:rPr>
        <w:t xml:space="preserve"> a funeral of a close relative</w:t>
      </w:r>
      <w:r w:rsidR="00A45D5B" w:rsidRPr="00252276">
        <w:rPr>
          <w:rFonts w:ascii="Arial" w:hAnsi="Arial" w:cs="Arial"/>
        </w:rPr>
        <w:t>,</w:t>
      </w:r>
      <w:r w:rsidRPr="00252276">
        <w:rPr>
          <w:rFonts w:ascii="Arial" w:hAnsi="Arial" w:cs="Arial"/>
        </w:rPr>
        <w:t xml:space="preserve"> </w:t>
      </w:r>
      <w:r w:rsidR="00A45D5B" w:rsidRPr="00252276">
        <w:rPr>
          <w:rFonts w:ascii="Arial" w:hAnsi="Arial" w:cs="Arial"/>
        </w:rPr>
        <w:t>a</w:t>
      </w:r>
      <w:r w:rsidRPr="00252276">
        <w:rPr>
          <w:rFonts w:ascii="Arial" w:hAnsi="Arial" w:cs="Arial"/>
        </w:rPr>
        <w:t>s detailed within the policy</w:t>
      </w:r>
      <w:r w:rsidR="00961EDA" w:rsidRPr="00252276">
        <w:rPr>
          <w:rFonts w:ascii="Arial" w:hAnsi="Arial" w:cs="Arial"/>
        </w:rPr>
        <w:t>. D</w:t>
      </w:r>
      <w:r w:rsidR="002C2829" w:rsidRPr="00252276">
        <w:rPr>
          <w:rFonts w:ascii="Arial" w:hAnsi="Arial" w:cs="Arial"/>
        </w:rPr>
        <w:t xml:space="preserve">uring the COVID-19 period, applications for these </w:t>
      </w:r>
      <w:r w:rsidR="00240F2A" w:rsidRPr="00252276">
        <w:rPr>
          <w:rFonts w:ascii="Arial" w:hAnsi="Arial" w:cs="Arial"/>
        </w:rPr>
        <w:t>requests</w:t>
      </w:r>
      <w:r w:rsidR="002C2829" w:rsidRPr="00252276">
        <w:rPr>
          <w:rFonts w:ascii="Arial" w:hAnsi="Arial" w:cs="Arial"/>
        </w:rPr>
        <w:t xml:space="preserve"> should be </w:t>
      </w:r>
      <w:r w:rsidR="00961EDA" w:rsidRPr="00252276">
        <w:rPr>
          <w:rFonts w:ascii="Arial" w:hAnsi="Arial" w:cs="Arial"/>
        </w:rPr>
        <w:t xml:space="preserve">assessed </w:t>
      </w:r>
      <w:r w:rsidR="002C2829" w:rsidRPr="00252276">
        <w:rPr>
          <w:rFonts w:ascii="Arial" w:hAnsi="Arial" w:cs="Arial"/>
        </w:rPr>
        <w:t xml:space="preserve">against </w:t>
      </w:r>
      <w:r w:rsidR="00240F2A" w:rsidRPr="00252276">
        <w:rPr>
          <w:rFonts w:ascii="Arial" w:hAnsi="Arial" w:cs="Arial"/>
        </w:rPr>
        <w:t xml:space="preserve">the risk assessment provided in the policy. It must consider whether on the grounds of security the prisoner would or would not satisfy the criteria of a funeral escort. All decisions must be clearly evidenced in the risk assessment. </w:t>
      </w:r>
    </w:p>
    <w:p w14:paraId="1213B9DE" w14:textId="0AA453D3" w:rsidR="002C2829" w:rsidRPr="00252276" w:rsidRDefault="002C2829" w:rsidP="00252276">
      <w:pPr>
        <w:spacing w:after="0" w:line="280" w:lineRule="atLeast"/>
        <w:contextualSpacing/>
        <w:mirrorIndents/>
        <w:rPr>
          <w:rFonts w:ascii="Arial" w:hAnsi="Arial" w:cs="Arial"/>
        </w:rPr>
      </w:pPr>
    </w:p>
    <w:p w14:paraId="472F1DF7" w14:textId="6AD468F9" w:rsidR="0011026E" w:rsidRPr="00252276" w:rsidRDefault="00240F2A" w:rsidP="00252276">
      <w:pPr>
        <w:spacing w:after="0" w:line="280" w:lineRule="atLeast"/>
        <w:contextualSpacing/>
        <w:mirrorIndents/>
        <w:rPr>
          <w:rFonts w:ascii="Arial" w:hAnsi="Arial" w:cs="Arial"/>
        </w:rPr>
      </w:pPr>
      <w:r w:rsidRPr="00252276">
        <w:rPr>
          <w:rFonts w:ascii="Arial" w:hAnsi="Arial" w:cs="Arial"/>
        </w:rPr>
        <w:t xml:space="preserve">It is essential that the necessary and proportionate COVID-19 controls are in place during a funeral escort. </w:t>
      </w:r>
      <w:r w:rsidR="0011026E" w:rsidRPr="00252276">
        <w:rPr>
          <w:rFonts w:ascii="Arial" w:hAnsi="Arial" w:cs="Arial"/>
        </w:rPr>
        <w:t xml:space="preserve">If a prisoner </w:t>
      </w:r>
      <w:r w:rsidRPr="00252276">
        <w:rPr>
          <w:rFonts w:ascii="Arial" w:hAnsi="Arial" w:cs="Arial"/>
        </w:rPr>
        <w:t>is displaying symptoms or has</w:t>
      </w:r>
      <w:r w:rsidR="0011026E" w:rsidRPr="00252276">
        <w:rPr>
          <w:rFonts w:ascii="Arial" w:hAnsi="Arial" w:cs="Arial"/>
        </w:rPr>
        <w:t xml:space="preserve"> tested positive</w:t>
      </w:r>
      <w:r w:rsidRPr="00252276">
        <w:rPr>
          <w:rFonts w:ascii="Arial" w:hAnsi="Arial" w:cs="Arial"/>
        </w:rPr>
        <w:t xml:space="preserve"> for COVID-19, </w:t>
      </w:r>
      <w:r w:rsidR="0011026E" w:rsidRPr="00252276">
        <w:rPr>
          <w:rFonts w:ascii="Arial" w:hAnsi="Arial" w:cs="Arial"/>
        </w:rPr>
        <w:t xml:space="preserve">they </w:t>
      </w:r>
      <w:r w:rsidRPr="00252276">
        <w:rPr>
          <w:rFonts w:ascii="Arial" w:hAnsi="Arial" w:cs="Arial"/>
        </w:rPr>
        <w:t>should</w:t>
      </w:r>
      <w:r w:rsidR="0011026E" w:rsidRPr="00252276">
        <w:rPr>
          <w:rFonts w:ascii="Arial" w:hAnsi="Arial" w:cs="Arial"/>
        </w:rPr>
        <w:t xml:space="preserve"> not be permitted to attend </w:t>
      </w:r>
      <w:r w:rsidRPr="00252276">
        <w:rPr>
          <w:rFonts w:ascii="Arial" w:hAnsi="Arial" w:cs="Arial"/>
        </w:rPr>
        <w:t xml:space="preserve">a </w:t>
      </w:r>
      <w:r w:rsidR="0011026E" w:rsidRPr="00252276">
        <w:rPr>
          <w:rFonts w:ascii="Arial" w:hAnsi="Arial" w:cs="Arial"/>
        </w:rPr>
        <w:t>funera</w:t>
      </w:r>
      <w:r w:rsidRPr="00252276">
        <w:rPr>
          <w:rFonts w:ascii="Arial" w:hAnsi="Arial" w:cs="Arial"/>
        </w:rPr>
        <w:t>l.</w:t>
      </w:r>
    </w:p>
    <w:p w14:paraId="08FFA612" w14:textId="5292A900" w:rsidR="00240F2A" w:rsidRPr="00252276" w:rsidRDefault="00240F2A" w:rsidP="00252276">
      <w:pPr>
        <w:spacing w:after="0" w:line="280" w:lineRule="atLeast"/>
        <w:contextualSpacing/>
        <w:mirrorIndents/>
        <w:rPr>
          <w:rFonts w:ascii="Arial" w:hAnsi="Arial" w:cs="Arial"/>
        </w:rPr>
      </w:pPr>
    </w:p>
    <w:p w14:paraId="1D59FDE6" w14:textId="2900E5D8" w:rsidR="005708D2" w:rsidRPr="00252276" w:rsidRDefault="006355A3" w:rsidP="00252276">
      <w:pPr>
        <w:spacing w:after="0" w:line="280" w:lineRule="atLeast"/>
        <w:contextualSpacing/>
        <w:mirrorIndents/>
        <w:rPr>
          <w:rFonts w:ascii="Arial" w:hAnsi="Arial" w:cs="Arial"/>
        </w:rPr>
      </w:pPr>
      <w:r w:rsidRPr="00252276">
        <w:rPr>
          <w:rFonts w:ascii="Arial" w:hAnsi="Arial" w:cs="Arial"/>
        </w:rPr>
        <w:t xml:space="preserve">The Governor will need to </w:t>
      </w:r>
      <w:r w:rsidR="005769BA" w:rsidRPr="00252276">
        <w:rPr>
          <w:rFonts w:ascii="Arial" w:hAnsi="Arial" w:cs="Arial"/>
        </w:rPr>
        <w:t>decide</w:t>
      </w:r>
      <w:r w:rsidRPr="00252276">
        <w:rPr>
          <w:rFonts w:ascii="Arial" w:hAnsi="Arial" w:cs="Arial"/>
        </w:rPr>
        <w:t xml:space="preserve"> on the following operational points </w:t>
      </w:r>
      <w:r w:rsidR="001F3982" w:rsidRPr="00252276">
        <w:rPr>
          <w:rFonts w:ascii="Arial" w:hAnsi="Arial" w:cs="Arial"/>
        </w:rPr>
        <w:t xml:space="preserve">after </w:t>
      </w:r>
      <w:r w:rsidR="00240F2A" w:rsidRPr="00252276">
        <w:rPr>
          <w:rFonts w:ascii="Arial" w:hAnsi="Arial" w:cs="Arial"/>
        </w:rPr>
        <w:t xml:space="preserve">the risk assessment </w:t>
      </w:r>
      <w:r w:rsidR="001F3982" w:rsidRPr="00252276">
        <w:rPr>
          <w:rFonts w:ascii="Arial" w:hAnsi="Arial" w:cs="Arial"/>
        </w:rPr>
        <w:t xml:space="preserve">has been </w:t>
      </w:r>
      <w:r w:rsidR="00240F2A" w:rsidRPr="00252276">
        <w:rPr>
          <w:rFonts w:ascii="Arial" w:hAnsi="Arial" w:cs="Arial"/>
        </w:rPr>
        <w:t>completed and</w:t>
      </w:r>
      <w:r w:rsidR="005708D2" w:rsidRPr="00252276">
        <w:rPr>
          <w:rFonts w:ascii="Arial" w:hAnsi="Arial" w:cs="Arial"/>
        </w:rPr>
        <w:t xml:space="preserve"> </w:t>
      </w:r>
      <w:r w:rsidR="00240F2A" w:rsidRPr="00252276">
        <w:rPr>
          <w:rFonts w:ascii="Arial" w:hAnsi="Arial" w:cs="Arial"/>
        </w:rPr>
        <w:t>the request</w:t>
      </w:r>
      <w:r w:rsidR="005769BA" w:rsidRPr="00252276">
        <w:rPr>
          <w:rFonts w:ascii="Arial" w:hAnsi="Arial" w:cs="Arial"/>
        </w:rPr>
        <w:t xml:space="preserve"> permitted</w:t>
      </w:r>
      <w:r w:rsidR="007E2BE3">
        <w:rPr>
          <w:rFonts w:ascii="Arial" w:hAnsi="Arial" w:cs="Arial"/>
        </w:rPr>
        <w:t>. This must take into consideration local outbreaks and subsequent local restrictions.</w:t>
      </w:r>
    </w:p>
    <w:p w14:paraId="206E2E42" w14:textId="3FD86C47" w:rsidR="005708D2" w:rsidRPr="00252276" w:rsidRDefault="005708D2" w:rsidP="00252276">
      <w:pPr>
        <w:spacing w:after="0" w:line="280" w:lineRule="atLeast"/>
        <w:contextualSpacing/>
        <w:mirrorIndents/>
        <w:rPr>
          <w:rFonts w:ascii="Arial" w:hAnsi="Arial" w:cs="Arial"/>
        </w:rPr>
      </w:pPr>
    </w:p>
    <w:p w14:paraId="2FAA4CD4" w14:textId="41704D61" w:rsidR="00747C0D" w:rsidRPr="00252276" w:rsidRDefault="008A5BF1" w:rsidP="00252276">
      <w:pPr>
        <w:pStyle w:val="ListParagraph"/>
        <w:numPr>
          <w:ilvl w:val="0"/>
          <w:numId w:val="1"/>
        </w:numPr>
        <w:spacing w:after="0" w:line="280" w:lineRule="atLeast"/>
        <w:mirrorIndents/>
        <w:rPr>
          <w:rFonts w:ascii="Arial" w:hAnsi="Arial" w:cs="Arial"/>
        </w:rPr>
      </w:pPr>
      <w:r w:rsidRPr="00252276">
        <w:rPr>
          <w:rFonts w:ascii="Arial" w:hAnsi="Arial" w:cs="Arial"/>
        </w:rPr>
        <w:t>t</w:t>
      </w:r>
      <w:r w:rsidR="005708D2" w:rsidRPr="00252276">
        <w:rPr>
          <w:rFonts w:ascii="Arial" w:hAnsi="Arial" w:cs="Arial"/>
        </w:rPr>
        <w:t xml:space="preserve">he </w:t>
      </w:r>
      <w:r w:rsidR="005708D2" w:rsidRPr="00252276">
        <w:rPr>
          <w:rFonts w:ascii="Arial" w:hAnsi="Arial" w:cs="Arial"/>
          <w:b/>
          <w:bCs/>
        </w:rPr>
        <w:t xml:space="preserve">distance </w:t>
      </w:r>
      <w:r w:rsidR="00092BC6" w:rsidRPr="00252276">
        <w:rPr>
          <w:rFonts w:ascii="Arial" w:hAnsi="Arial" w:cs="Arial"/>
          <w:b/>
          <w:bCs/>
        </w:rPr>
        <w:t>required between staff and prisoner</w:t>
      </w:r>
      <w:r w:rsidR="005708D2" w:rsidRPr="00252276">
        <w:rPr>
          <w:rFonts w:ascii="Arial" w:hAnsi="Arial" w:cs="Arial"/>
        </w:rPr>
        <w:t xml:space="preserve"> to facilitate the </w:t>
      </w:r>
      <w:r w:rsidR="00092BC6" w:rsidRPr="00252276">
        <w:rPr>
          <w:rFonts w:ascii="Arial" w:hAnsi="Arial" w:cs="Arial"/>
        </w:rPr>
        <w:t>escort. This must take into</w:t>
      </w:r>
      <w:r w:rsidR="005708D2" w:rsidRPr="00252276">
        <w:rPr>
          <w:rFonts w:ascii="Arial" w:hAnsi="Arial" w:cs="Arial"/>
        </w:rPr>
        <w:t xml:space="preserve"> consideration the practicality of managing </w:t>
      </w:r>
      <w:r w:rsidR="00092BC6" w:rsidRPr="00252276">
        <w:rPr>
          <w:rFonts w:ascii="Arial" w:hAnsi="Arial" w:cs="Arial"/>
        </w:rPr>
        <w:t>COVID-19</w:t>
      </w:r>
      <w:r w:rsidR="005708D2" w:rsidRPr="00252276">
        <w:rPr>
          <w:rFonts w:ascii="Arial" w:hAnsi="Arial" w:cs="Arial"/>
        </w:rPr>
        <w:t xml:space="preserve"> transmission risk during the whole period outside </w:t>
      </w:r>
      <w:r w:rsidR="00092BC6" w:rsidRPr="00252276">
        <w:rPr>
          <w:rFonts w:ascii="Arial" w:hAnsi="Arial" w:cs="Arial"/>
        </w:rPr>
        <w:t xml:space="preserve">of </w:t>
      </w:r>
      <w:r w:rsidR="005708D2" w:rsidRPr="00252276">
        <w:rPr>
          <w:rFonts w:ascii="Arial" w:hAnsi="Arial" w:cs="Arial"/>
        </w:rPr>
        <w:t>the prison. If a long</w:t>
      </w:r>
      <w:r w:rsidRPr="00252276">
        <w:rPr>
          <w:rFonts w:ascii="Arial" w:hAnsi="Arial" w:cs="Arial"/>
        </w:rPr>
        <w:t>-</w:t>
      </w:r>
      <w:r w:rsidR="005708D2" w:rsidRPr="00252276">
        <w:rPr>
          <w:rFonts w:ascii="Arial" w:hAnsi="Arial" w:cs="Arial"/>
        </w:rPr>
        <w:t xml:space="preserve">distance escort is supported and </w:t>
      </w:r>
      <w:r w:rsidR="00247FB0" w:rsidRPr="00252276">
        <w:rPr>
          <w:rFonts w:ascii="Arial" w:hAnsi="Arial" w:cs="Arial"/>
        </w:rPr>
        <w:t xml:space="preserve">a </w:t>
      </w:r>
      <w:r w:rsidR="005708D2" w:rsidRPr="00252276">
        <w:rPr>
          <w:rFonts w:ascii="Arial" w:hAnsi="Arial" w:cs="Arial"/>
        </w:rPr>
        <w:t xml:space="preserve">prison transfer is recommended, this </w:t>
      </w:r>
      <w:r w:rsidR="00247FB0" w:rsidRPr="00252276">
        <w:rPr>
          <w:rFonts w:ascii="Arial" w:hAnsi="Arial" w:cs="Arial"/>
        </w:rPr>
        <w:t>must be</w:t>
      </w:r>
      <w:r w:rsidR="005708D2" w:rsidRPr="00252276">
        <w:rPr>
          <w:rFonts w:ascii="Arial" w:hAnsi="Arial" w:cs="Arial"/>
        </w:rPr>
        <w:t xml:space="preserve"> escalated as per regular policy</w:t>
      </w:r>
      <w:r w:rsidR="00247FB0" w:rsidRPr="00252276">
        <w:rPr>
          <w:rFonts w:ascii="Arial" w:hAnsi="Arial" w:cs="Arial"/>
        </w:rPr>
        <w:t xml:space="preserve">, </w:t>
      </w:r>
      <w:r w:rsidR="005708D2" w:rsidRPr="00252276">
        <w:rPr>
          <w:rFonts w:ascii="Arial" w:hAnsi="Arial" w:cs="Arial"/>
        </w:rPr>
        <w:t>with relevant COVID controls</w:t>
      </w:r>
      <w:r w:rsidR="00747C0D" w:rsidRPr="00252276">
        <w:rPr>
          <w:rFonts w:ascii="Arial" w:hAnsi="Arial" w:cs="Arial"/>
        </w:rPr>
        <w:t>;</w:t>
      </w:r>
    </w:p>
    <w:p w14:paraId="46AC938D" w14:textId="77777777" w:rsidR="00237153" w:rsidRPr="00252276" w:rsidRDefault="00237153" w:rsidP="00252276">
      <w:pPr>
        <w:pStyle w:val="ListParagraph"/>
        <w:spacing w:after="0" w:line="280" w:lineRule="atLeast"/>
        <w:mirrorIndents/>
        <w:rPr>
          <w:rFonts w:ascii="Arial" w:hAnsi="Arial" w:cs="Arial"/>
        </w:rPr>
      </w:pPr>
    </w:p>
    <w:p w14:paraId="5510AA75" w14:textId="4077A255" w:rsidR="00A75D77" w:rsidRPr="00252276" w:rsidRDefault="00747C0D" w:rsidP="00252276">
      <w:pPr>
        <w:pStyle w:val="ListParagraph"/>
        <w:numPr>
          <w:ilvl w:val="0"/>
          <w:numId w:val="1"/>
        </w:numPr>
        <w:spacing w:after="0" w:line="280" w:lineRule="atLeast"/>
        <w:mirrorIndents/>
        <w:rPr>
          <w:rFonts w:ascii="Arial" w:hAnsi="Arial" w:cs="Arial"/>
        </w:rPr>
      </w:pPr>
      <w:r w:rsidRPr="00252276">
        <w:rPr>
          <w:rFonts w:ascii="Arial" w:hAnsi="Arial" w:cs="Arial"/>
        </w:rPr>
        <w:t>t</w:t>
      </w:r>
      <w:r w:rsidR="00092BC6" w:rsidRPr="00252276">
        <w:rPr>
          <w:rFonts w:ascii="Arial" w:hAnsi="Arial" w:cs="Arial"/>
        </w:rPr>
        <w:t xml:space="preserve">here may be </w:t>
      </w:r>
      <w:r w:rsidR="00092BC6" w:rsidRPr="00252276">
        <w:rPr>
          <w:rFonts w:ascii="Arial" w:hAnsi="Arial" w:cs="Arial"/>
          <w:b/>
          <w:bCs/>
        </w:rPr>
        <w:t>specific limits on numbers to attend funerals</w:t>
      </w:r>
      <w:r w:rsidR="00092BC6" w:rsidRPr="00252276">
        <w:rPr>
          <w:rFonts w:ascii="Arial" w:hAnsi="Arial" w:cs="Arial"/>
        </w:rPr>
        <w:t xml:space="preserve"> and therefore, confirmation should be sought that</w:t>
      </w:r>
      <w:r w:rsidR="005708D2" w:rsidRPr="00252276">
        <w:rPr>
          <w:rFonts w:ascii="Arial" w:hAnsi="Arial" w:cs="Arial"/>
        </w:rPr>
        <w:t xml:space="preserve"> these limits would not be exceeded by the prisoner and members of staff attending. </w:t>
      </w:r>
      <w:r w:rsidR="002D4461" w:rsidRPr="00252276">
        <w:rPr>
          <w:rFonts w:ascii="Arial" w:hAnsi="Arial" w:cs="Arial"/>
        </w:rPr>
        <w:t>T</w:t>
      </w:r>
      <w:r w:rsidR="005708D2" w:rsidRPr="00252276">
        <w:rPr>
          <w:rFonts w:ascii="Arial" w:hAnsi="Arial" w:cs="Arial"/>
        </w:rPr>
        <w:t>he level of restrictions may also depend on the community outbreaks and local lockdowns arrangements</w:t>
      </w:r>
      <w:r w:rsidR="000259CF" w:rsidRPr="00252276">
        <w:rPr>
          <w:rFonts w:ascii="Arial" w:hAnsi="Arial" w:cs="Arial"/>
        </w:rPr>
        <w:t>;</w:t>
      </w:r>
    </w:p>
    <w:p w14:paraId="15B565B8" w14:textId="77777777" w:rsidR="00237153" w:rsidRPr="00252276" w:rsidRDefault="00237153" w:rsidP="00252276">
      <w:pPr>
        <w:pStyle w:val="ListParagraph"/>
        <w:spacing w:after="0" w:line="280" w:lineRule="atLeast"/>
        <w:mirrorIndents/>
        <w:rPr>
          <w:rFonts w:ascii="Arial" w:hAnsi="Arial" w:cs="Arial"/>
        </w:rPr>
      </w:pPr>
    </w:p>
    <w:p w14:paraId="1A299384" w14:textId="7EE054B0" w:rsidR="00A75D77" w:rsidRPr="00252276" w:rsidRDefault="00747C0D" w:rsidP="00252276">
      <w:pPr>
        <w:pStyle w:val="ListParagraph"/>
        <w:numPr>
          <w:ilvl w:val="0"/>
          <w:numId w:val="1"/>
        </w:numPr>
        <w:spacing w:after="0" w:line="280" w:lineRule="atLeast"/>
        <w:mirrorIndents/>
        <w:rPr>
          <w:rFonts w:ascii="Arial" w:hAnsi="Arial" w:cs="Arial"/>
        </w:rPr>
      </w:pPr>
      <w:r w:rsidRPr="00252276">
        <w:rPr>
          <w:rFonts w:ascii="Arial" w:hAnsi="Arial" w:cs="Arial"/>
        </w:rPr>
        <w:t>i</w:t>
      </w:r>
      <w:r w:rsidR="00A75D77" w:rsidRPr="00252276">
        <w:rPr>
          <w:rFonts w:ascii="Arial" w:hAnsi="Arial" w:cs="Arial"/>
        </w:rPr>
        <w:t xml:space="preserve">n addition to national limits, there may be </w:t>
      </w:r>
      <w:r w:rsidR="00A75D77" w:rsidRPr="00252276">
        <w:rPr>
          <w:rFonts w:ascii="Arial" w:hAnsi="Arial" w:cs="Arial"/>
          <w:b/>
          <w:bCs/>
        </w:rPr>
        <w:t>local restrictions on how many people can visit a dying person at any time</w:t>
      </w:r>
      <w:r w:rsidR="00A75D77" w:rsidRPr="00252276">
        <w:rPr>
          <w:rFonts w:ascii="Arial" w:hAnsi="Arial" w:cs="Arial"/>
        </w:rPr>
        <w:t xml:space="preserve">. Confirmation should be sought from the relevant institution, such as a hospital, that a prison escort would be in line with their requirements. If their visits protocols only allow for one person visits, confirmation should be sought as to whether the exception can be made to include escorting staff. </w:t>
      </w:r>
      <w:r w:rsidR="00E959FA" w:rsidRPr="00252276">
        <w:rPr>
          <w:rFonts w:ascii="Arial" w:hAnsi="Arial" w:cs="Arial"/>
        </w:rPr>
        <w:t>T</w:t>
      </w:r>
      <w:r w:rsidR="00A75D77" w:rsidRPr="00252276">
        <w:rPr>
          <w:rFonts w:ascii="Arial" w:hAnsi="Arial" w:cs="Arial"/>
        </w:rPr>
        <w:t>he level of restrictions may also depend on the community outbreaks and local lockdown arrangements</w:t>
      </w:r>
      <w:r w:rsidR="000259CF" w:rsidRPr="00252276">
        <w:rPr>
          <w:rFonts w:ascii="Arial" w:hAnsi="Arial" w:cs="Arial"/>
        </w:rPr>
        <w:t>;</w:t>
      </w:r>
    </w:p>
    <w:p w14:paraId="4655285D" w14:textId="77777777" w:rsidR="00237153" w:rsidRPr="00252276" w:rsidRDefault="00237153" w:rsidP="00252276">
      <w:pPr>
        <w:pStyle w:val="ListParagraph"/>
        <w:spacing w:after="0" w:line="280" w:lineRule="atLeast"/>
        <w:mirrorIndents/>
        <w:rPr>
          <w:rFonts w:ascii="Arial" w:hAnsi="Arial" w:cs="Arial"/>
        </w:rPr>
      </w:pPr>
    </w:p>
    <w:p w14:paraId="28553BDD" w14:textId="3927C66E" w:rsidR="00092BC6" w:rsidRPr="00252276" w:rsidRDefault="00747C0D" w:rsidP="00252276">
      <w:pPr>
        <w:pStyle w:val="ListParagraph"/>
        <w:numPr>
          <w:ilvl w:val="0"/>
          <w:numId w:val="1"/>
        </w:numPr>
        <w:spacing w:after="0" w:line="280" w:lineRule="atLeast"/>
        <w:mirrorIndents/>
        <w:rPr>
          <w:rFonts w:ascii="Arial" w:hAnsi="Arial" w:cs="Arial"/>
        </w:rPr>
      </w:pPr>
      <w:r w:rsidRPr="00252276">
        <w:rPr>
          <w:rFonts w:ascii="Arial" w:hAnsi="Arial" w:cs="Arial"/>
        </w:rPr>
        <w:t>t</w:t>
      </w:r>
      <w:r w:rsidR="005708D2" w:rsidRPr="00252276">
        <w:rPr>
          <w:rFonts w:ascii="Arial" w:hAnsi="Arial" w:cs="Arial"/>
        </w:rPr>
        <w:t xml:space="preserve">he </w:t>
      </w:r>
      <w:r w:rsidR="005708D2" w:rsidRPr="00252276">
        <w:rPr>
          <w:rFonts w:ascii="Arial" w:hAnsi="Arial" w:cs="Arial"/>
          <w:b/>
          <w:bCs/>
        </w:rPr>
        <w:t>level of restraint</w:t>
      </w:r>
      <w:r w:rsidR="005708D2" w:rsidRPr="00252276">
        <w:rPr>
          <w:rFonts w:ascii="Arial" w:hAnsi="Arial" w:cs="Arial"/>
        </w:rPr>
        <w:t xml:space="preserve"> to be applied</w:t>
      </w:r>
      <w:r w:rsidR="00092BC6" w:rsidRPr="00252276">
        <w:rPr>
          <w:rFonts w:ascii="Arial" w:hAnsi="Arial" w:cs="Arial"/>
        </w:rPr>
        <w:t>, in line with PSI 33/2015 and the</w:t>
      </w:r>
      <w:r w:rsidR="00363CBF" w:rsidRPr="00252276">
        <w:rPr>
          <w:rFonts w:ascii="Arial" w:hAnsi="Arial" w:cs="Arial"/>
        </w:rPr>
        <w:t xml:space="preserve"> most up to date</w:t>
      </w:r>
      <w:r w:rsidR="00092BC6" w:rsidRPr="00252276">
        <w:rPr>
          <w:rFonts w:ascii="Arial" w:hAnsi="Arial" w:cs="Arial"/>
        </w:rPr>
        <w:t xml:space="preserve"> External Escort Guidance</w:t>
      </w:r>
      <w:r w:rsidR="000259CF" w:rsidRPr="00252276">
        <w:rPr>
          <w:rFonts w:ascii="Arial" w:hAnsi="Arial" w:cs="Arial"/>
        </w:rPr>
        <w:t>;</w:t>
      </w:r>
    </w:p>
    <w:p w14:paraId="5EB8262C" w14:textId="77777777" w:rsidR="00237153" w:rsidRPr="00252276" w:rsidRDefault="00237153" w:rsidP="00252276">
      <w:pPr>
        <w:pStyle w:val="ListParagraph"/>
        <w:spacing w:after="0" w:line="280" w:lineRule="atLeast"/>
        <w:mirrorIndents/>
        <w:rPr>
          <w:rFonts w:ascii="Arial" w:hAnsi="Arial" w:cs="Arial"/>
        </w:rPr>
      </w:pPr>
    </w:p>
    <w:p w14:paraId="7FAB5A6B" w14:textId="77777777" w:rsidR="009E59D5" w:rsidRPr="00252276" w:rsidRDefault="009E59D5" w:rsidP="00252276">
      <w:pPr>
        <w:pStyle w:val="ListParagraph"/>
        <w:numPr>
          <w:ilvl w:val="0"/>
          <w:numId w:val="1"/>
        </w:numPr>
        <w:spacing w:after="0" w:line="280" w:lineRule="atLeast"/>
        <w:mirrorIndents/>
        <w:rPr>
          <w:rFonts w:ascii="Arial" w:hAnsi="Arial" w:cs="Arial"/>
        </w:rPr>
      </w:pPr>
      <w:r w:rsidRPr="00252276">
        <w:rPr>
          <w:rFonts w:ascii="Arial" w:hAnsi="Arial" w:cs="Arial"/>
        </w:rPr>
        <w:t xml:space="preserve">The </w:t>
      </w:r>
      <w:r w:rsidRPr="00252276">
        <w:rPr>
          <w:rFonts w:ascii="Arial" w:hAnsi="Arial" w:cs="Arial"/>
          <w:b/>
          <w:bCs/>
        </w:rPr>
        <w:t>level of Personal Protection Equipment (PPE)</w:t>
      </w:r>
      <w:r w:rsidRPr="00252276">
        <w:rPr>
          <w:rFonts w:ascii="Arial" w:hAnsi="Arial" w:cs="Arial"/>
        </w:rPr>
        <w:t xml:space="preserve"> to be used, in line with the most up to date External Escort Guidance and Safe Operating Procedures (SOP). PPE must be provided to staff and the prisoner. Refer to SOP – Escorts and Bed watches</w:t>
      </w:r>
    </w:p>
    <w:p w14:paraId="6BB8C21D" w14:textId="77777777" w:rsidR="009E59D5" w:rsidRPr="00252276" w:rsidRDefault="009E59D5" w:rsidP="00252276">
      <w:pPr>
        <w:spacing w:after="0" w:line="280" w:lineRule="atLeast"/>
        <w:contextualSpacing/>
        <w:mirrorIndents/>
        <w:rPr>
          <w:rFonts w:ascii="Arial" w:hAnsi="Arial" w:cs="Arial"/>
        </w:rPr>
      </w:pPr>
    </w:p>
    <w:p w14:paraId="29FBCD7F" w14:textId="77777777" w:rsidR="009E59D5" w:rsidRPr="00252276" w:rsidRDefault="00642084" w:rsidP="00252276">
      <w:pPr>
        <w:spacing w:after="0" w:line="280" w:lineRule="atLeast"/>
        <w:contextualSpacing/>
        <w:mirrorIndents/>
        <w:jc w:val="center"/>
        <w:rPr>
          <w:rFonts w:ascii="Arial" w:hAnsi="Arial" w:cs="Arial"/>
        </w:rPr>
      </w:pPr>
      <w:hyperlink r:id="rId12" w:history="1">
        <w:r w:rsidR="009E59D5" w:rsidRPr="00252276">
          <w:rPr>
            <w:rStyle w:val="Hyperlink"/>
            <w:rFonts w:ascii="Arial" w:hAnsi="Arial" w:cs="Arial"/>
          </w:rPr>
          <w:t>Safe Operating Procedures (SOP) – Prisons Exceptional Regime &amp; Service Delivery (hmppsintranet.org.uk)</w:t>
        </w:r>
      </w:hyperlink>
    </w:p>
    <w:p w14:paraId="3C073776" w14:textId="77777777" w:rsidR="009E59D5" w:rsidRPr="00252276" w:rsidRDefault="009E59D5" w:rsidP="00252276">
      <w:pPr>
        <w:spacing w:after="0" w:line="280" w:lineRule="atLeast"/>
        <w:contextualSpacing/>
        <w:mirrorIndents/>
        <w:rPr>
          <w:rFonts w:ascii="Arial" w:hAnsi="Arial" w:cs="Arial"/>
        </w:rPr>
      </w:pPr>
    </w:p>
    <w:p w14:paraId="7BE777CA" w14:textId="77777777" w:rsidR="009E59D5" w:rsidRPr="00252276" w:rsidRDefault="009E59D5" w:rsidP="00252276">
      <w:pPr>
        <w:pStyle w:val="ListParagraph"/>
        <w:numPr>
          <w:ilvl w:val="0"/>
          <w:numId w:val="1"/>
        </w:numPr>
        <w:spacing w:after="0" w:line="280" w:lineRule="atLeast"/>
        <w:mirrorIndents/>
        <w:rPr>
          <w:rFonts w:ascii="Arial" w:hAnsi="Arial" w:cs="Arial"/>
        </w:rPr>
      </w:pPr>
      <w:r w:rsidRPr="00252276">
        <w:rPr>
          <w:rFonts w:ascii="Arial" w:hAnsi="Arial" w:cs="Arial"/>
        </w:rPr>
        <w:t xml:space="preserve">The </w:t>
      </w:r>
      <w:r w:rsidRPr="00252276">
        <w:rPr>
          <w:rFonts w:ascii="Arial" w:hAnsi="Arial" w:cs="Arial"/>
          <w:b/>
          <w:bCs/>
        </w:rPr>
        <w:t>method of transport</w:t>
      </w:r>
      <w:r w:rsidRPr="00252276">
        <w:rPr>
          <w:rFonts w:ascii="Arial" w:hAnsi="Arial" w:cs="Arial"/>
        </w:rPr>
        <w:t xml:space="preserve"> that will be used for the escort. The SOP details the requirements of using official vehicles or taxis during the COVID-19 period. . Refer to SOP – Use of Vehicles and Decontamination</w:t>
      </w:r>
    </w:p>
    <w:p w14:paraId="79EB7CFC" w14:textId="77777777" w:rsidR="009E59D5" w:rsidRPr="00252276" w:rsidRDefault="009E59D5" w:rsidP="00252276">
      <w:pPr>
        <w:spacing w:after="0" w:line="280" w:lineRule="atLeast"/>
        <w:contextualSpacing/>
        <w:mirrorIndents/>
        <w:rPr>
          <w:rFonts w:ascii="Arial" w:hAnsi="Arial" w:cs="Arial"/>
        </w:rPr>
      </w:pPr>
    </w:p>
    <w:p w14:paraId="5A26D272" w14:textId="77777777" w:rsidR="009E59D5" w:rsidRPr="00252276" w:rsidRDefault="00642084" w:rsidP="00252276">
      <w:pPr>
        <w:spacing w:after="0" w:line="280" w:lineRule="atLeast"/>
        <w:contextualSpacing/>
        <w:mirrorIndents/>
        <w:jc w:val="center"/>
        <w:rPr>
          <w:rFonts w:ascii="Arial" w:hAnsi="Arial" w:cs="Arial"/>
        </w:rPr>
      </w:pPr>
      <w:hyperlink r:id="rId13" w:history="1">
        <w:r w:rsidR="009E59D5" w:rsidRPr="00252276">
          <w:rPr>
            <w:rStyle w:val="Hyperlink"/>
            <w:rFonts w:ascii="Arial" w:hAnsi="Arial" w:cs="Arial"/>
          </w:rPr>
          <w:t>Safe Operating Procedures (SOP) – Prisons Exceptional Regime &amp; Service Delivery (hmppsintranet.org.uk)</w:t>
        </w:r>
      </w:hyperlink>
    </w:p>
    <w:p w14:paraId="1E6445D8" w14:textId="77777777" w:rsidR="009E59D5" w:rsidRPr="00252276" w:rsidRDefault="009E59D5" w:rsidP="00252276">
      <w:pPr>
        <w:spacing w:after="0" w:line="280" w:lineRule="atLeast"/>
        <w:contextualSpacing/>
        <w:mirrorIndents/>
        <w:rPr>
          <w:rFonts w:ascii="Arial" w:hAnsi="Arial" w:cs="Arial"/>
        </w:rPr>
      </w:pPr>
    </w:p>
    <w:p w14:paraId="31ED06DF" w14:textId="0B8F296A" w:rsidR="005708D2" w:rsidRPr="00252276" w:rsidRDefault="005708D2" w:rsidP="00252276">
      <w:pPr>
        <w:spacing w:after="0" w:line="280" w:lineRule="atLeast"/>
        <w:contextualSpacing/>
        <w:mirrorIndents/>
        <w:rPr>
          <w:rFonts w:ascii="Arial" w:hAnsi="Arial" w:cs="Arial"/>
        </w:rPr>
      </w:pPr>
      <w:r w:rsidRPr="00252276">
        <w:rPr>
          <w:rFonts w:ascii="Arial" w:hAnsi="Arial" w:cs="Arial"/>
        </w:rPr>
        <w:t xml:space="preserve">All of the above considerations </w:t>
      </w:r>
      <w:r w:rsidR="00092BC6" w:rsidRPr="00252276">
        <w:rPr>
          <w:rFonts w:ascii="Arial" w:hAnsi="Arial" w:cs="Arial"/>
        </w:rPr>
        <w:t>must</w:t>
      </w:r>
      <w:r w:rsidRPr="00252276">
        <w:rPr>
          <w:rFonts w:ascii="Arial" w:hAnsi="Arial" w:cs="Arial"/>
        </w:rPr>
        <w:t xml:space="preserve"> be clearly documented in the C</w:t>
      </w:r>
      <w:r w:rsidR="00FD43E3" w:rsidRPr="00252276">
        <w:rPr>
          <w:rFonts w:ascii="Arial" w:hAnsi="Arial" w:cs="Arial"/>
        </w:rPr>
        <w:t>OVID-19</w:t>
      </w:r>
      <w:r w:rsidRPr="00252276">
        <w:rPr>
          <w:rFonts w:ascii="Arial" w:hAnsi="Arial" w:cs="Arial"/>
        </w:rPr>
        <w:t xml:space="preserve"> Decision Log</w:t>
      </w:r>
      <w:r w:rsidR="00FD43E3" w:rsidRPr="00252276">
        <w:rPr>
          <w:rFonts w:ascii="Arial" w:hAnsi="Arial" w:cs="Arial"/>
        </w:rPr>
        <w:t>.</w:t>
      </w:r>
      <w:r w:rsidR="00481EF9" w:rsidRPr="00252276">
        <w:rPr>
          <w:rFonts w:ascii="Arial" w:hAnsi="Arial" w:cs="Arial"/>
        </w:rPr>
        <w:t xml:space="preserve"> </w:t>
      </w:r>
      <w:r w:rsidR="000259CF" w:rsidRPr="00252276">
        <w:rPr>
          <w:rFonts w:ascii="Arial" w:hAnsi="Arial" w:cs="Arial"/>
        </w:rPr>
        <w:t xml:space="preserve">Please see </w:t>
      </w:r>
      <w:hyperlink r:id="rId14" w:history="1">
        <w:r w:rsidR="000259CF" w:rsidRPr="00252276">
          <w:rPr>
            <w:rStyle w:val="Hyperlink"/>
            <w:rFonts w:ascii="Arial" w:hAnsi="Arial" w:cs="Arial"/>
          </w:rPr>
          <w:t>External Escort Guidance</w:t>
        </w:r>
      </w:hyperlink>
      <w:r w:rsidR="000259CF" w:rsidRPr="00252276">
        <w:rPr>
          <w:rStyle w:val="Hyperlink"/>
          <w:rFonts w:ascii="Arial" w:hAnsi="Arial" w:cs="Arial"/>
        </w:rPr>
        <w:t xml:space="preserve"> </w:t>
      </w:r>
      <w:r w:rsidR="000259CF" w:rsidRPr="00252276">
        <w:rPr>
          <w:rFonts w:ascii="Arial" w:hAnsi="Arial" w:cs="Arial"/>
        </w:rPr>
        <w:t>f</w:t>
      </w:r>
      <w:r w:rsidR="00481EF9" w:rsidRPr="00252276">
        <w:rPr>
          <w:rFonts w:ascii="Arial" w:hAnsi="Arial" w:cs="Arial"/>
        </w:rPr>
        <w:t xml:space="preserve">or further information </w:t>
      </w:r>
      <w:r w:rsidR="00237153" w:rsidRPr="00252276">
        <w:rPr>
          <w:rFonts w:ascii="Arial" w:hAnsi="Arial" w:cs="Arial"/>
        </w:rPr>
        <w:t xml:space="preserve">about </w:t>
      </w:r>
      <w:r w:rsidR="00481EF9" w:rsidRPr="00252276">
        <w:rPr>
          <w:rFonts w:ascii="Arial" w:hAnsi="Arial" w:cs="Arial"/>
        </w:rPr>
        <w:t xml:space="preserve">defensible decisions. </w:t>
      </w:r>
    </w:p>
    <w:p w14:paraId="6D2D558D" w14:textId="6A2BDACF" w:rsidR="005708D2" w:rsidRPr="00252276" w:rsidRDefault="005708D2" w:rsidP="00252276">
      <w:pPr>
        <w:spacing w:after="0" w:line="280" w:lineRule="atLeast"/>
        <w:contextualSpacing/>
        <w:mirrorIndents/>
        <w:rPr>
          <w:rFonts w:ascii="Arial" w:hAnsi="Arial" w:cs="Arial"/>
        </w:rPr>
      </w:pPr>
    </w:p>
    <w:p w14:paraId="1B1C63DD" w14:textId="3255FB87" w:rsidR="00A75D77" w:rsidRPr="00252276" w:rsidRDefault="00FD425A" w:rsidP="00252276">
      <w:pPr>
        <w:spacing w:after="0" w:line="280" w:lineRule="atLeast"/>
        <w:contextualSpacing/>
        <w:mirrorIndents/>
        <w:rPr>
          <w:rFonts w:ascii="Arial" w:hAnsi="Arial" w:cs="Arial"/>
          <w:b/>
          <w:bCs/>
        </w:rPr>
      </w:pPr>
      <w:r w:rsidRPr="00252276">
        <w:rPr>
          <w:rFonts w:ascii="Arial" w:hAnsi="Arial" w:cs="Arial"/>
          <w:b/>
          <w:bCs/>
        </w:rPr>
        <w:t>Virtual</w:t>
      </w:r>
      <w:r w:rsidR="00A75D77" w:rsidRPr="00252276">
        <w:rPr>
          <w:rFonts w:ascii="Arial" w:hAnsi="Arial" w:cs="Arial"/>
          <w:b/>
          <w:bCs/>
        </w:rPr>
        <w:t xml:space="preserve"> Funeral Services</w:t>
      </w:r>
    </w:p>
    <w:p w14:paraId="099FA330" w14:textId="77777777" w:rsidR="00BC2AA8" w:rsidRPr="00252276" w:rsidRDefault="00BC2AA8" w:rsidP="00252276">
      <w:pPr>
        <w:spacing w:after="0" w:line="280" w:lineRule="atLeast"/>
        <w:contextualSpacing/>
        <w:mirrorIndents/>
        <w:rPr>
          <w:rFonts w:ascii="Arial" w:hAnsi="Arial" w:cs="Arial"/>
          <w:b/>
          <w:bCs/>
        </w:rPr>
      </w:pPr>
    </w:p>
    <w:p w14:paraId="7F37F96E" w14:textId="0E3479F0" w:rsidR="005708D2" w:rsidRPr="00252276" w:rsidRDefault="005708D2" w:rsidP="00252276">
      <w:pPr>
        <w:spacing w:after="0" w:line="280" w:lineRule="atLeast"/>
        <w:contextualSpacing/>
        <w:mirrorIndents/>
        <w:rPr>
          <w:rFonts w:ascii="Arial" w:hAnsi="Arial" w:cs="Arial"/>
        </w:rPr>
      </w:pPr>
      <w:r w:rsidRPr="00252276">
        <w:rPr>
          <w:rFonts w:ascii="Arial" w:hAnsi="Arial" w:cs="Arial"/>
        </w:rPr>
        <w:t>For the duration of COVID-19</w:t>
      </w:r>
      <w:r w:rsidR="001B53B5" w:rsidRPr="00252276">
        <w:rPr>
          <w:rFonts w:ascii="Arial" w:hAnsi="Arial" w:cs="Arial"/>
        </w:rPr>
        <w:t>, some</w:t>
      </w:r>
      <w:r w:rsidRPr="00252276">
        <w:rPr>
          <w:rFonts w:ascii="Arial" w:hAnsi="Arial" w:cs="Arial"/>
        </w:rPr>
        <w:t xml:space="preserve"> funeral homes</w:t>
      </w:r>
      <w:r w:rsidR="001B53B5" w:rsidRPr="00252276">
        <w:rPr>
          <w:rFonts w:ascii="Arial" w:hAnsi="Arial" w:cs="Arial"/>
        </w:rPr>
        <w:t xml:space="preserve"> have the facilities to stream</w:t>
      </w:r>
      <w:r w:rsidRPr="00252276">
        <w:rPr>
          <w:rFonts w:ascii="Arial" w:hAnsi="Arial" w:cs="Arial"/>
        </w:rPr>
        <w:t xml:space="preserve"> their services online</w:t>
      </w:r>
      <w:r w:rsidR="001B53B5" w:rsidRPr="00252276">
        <w:rPr>
          <w:rFonts w:ascii="Arial" w:hAnsi="Arial" w:cs="Arial"/>
        </w:rPr>
        <w:t xml:space="preserve">. </w:t>
      </w:r>
      <w:r w:rsidRPr="00252276">
        <w:rPr>
          <w:rFonts w:ascii="Arial" w:hAnsi="Arial" w:cs="Arial"/>
        </w:rPr>
        <w:t>Governors should use technology to enable the viewing of funeral ceremonies</w:t>
      </w:r>
      <w:r w:rsidR="001B53B5" w:rsidRPr="00252276">
        <w:rPr>
          <w:rFonts w:ascii="Arial" w:hAnsi="Arial" w:cs="Arial"/>
        </w:rPr>
        <w:t>,</w:t>
      </w:r>
      <w:r w:rsidRPr="00252276">
        <w:rPr>
          <w:rFonts w:ascii="Arial" w:hAnsi="Arial" w:cs="Arial"/>
        </w:rPr>
        <w:t xml:space="preserve"> if possible and appropriate, together with supportive measures from chaplaincy and other colleagues</w:t>
      </w:r>
      <w:r w:rsidR="003668F9" w:rsidRPr="00252276">
        <w:rPr>
          <w:rFonts w:ascii="Arial" w:hAnsi="Arial" w:cs="Arial"/>
        </w:rPr>
        <w:t xml:space="preserve"> </w:t>
      </w:r>
      <w:r w:rsidR="00202D48" w:rsidRPr="00252276">
        <w:rPr>
          <w:rFonts w:ascii="Arial" w:hAnsi="Arial" w:cs="Arial"/>
        </w:rPr>
        <w:t>i</w:t>
      </w:r>
      <w:r w:rsidR="003668F9" w:rsidRPr="00252276">
        <w:rPr>
          <w:rFonts w:ascii="Arial" w:hAnsi="Arial" w:cs="Arial"/>
        </w:rPr>
        <w:t>f a prisoner is not able to attend a funeral via ROTL or an escort</w:t>
      </w:r>
      <w:r w:rsidRPr="00252276">
        <w:rPr>
          <w:rFonts w:ascii="Arial" w:hAnsi="Arial" w:cs="Arial"/>
        </w:rPr>
        <w:t xml:space="preserve">. The availability of technology should not encourage refusal of attendance in the first </w:t>
      </w:r>
      <w:r w:rsidR="00FC0156" w:rsidRPr="00252276">
        <w:rPr>
          <w:rFonts w:ascii="Arial" w:hAnsi="Arial" w:cs="Arial"/>
        </w:rPr>
        <w:t>instance but</w:t>
      </w:r>
      <w:r w:rsidRPr="00252276">
        <w:rPr>
          <w:rFonts w:ascii="Arial" w:hAnsi="Arial" w:cs="Arial"/>
        </w:rPr>
        <w:t xml:space="preserve"> may be used where </w:t>
      </w:r>
      <w:r w:rsidR="001B53B5" w:rsidRPr="00252276">
        <w:rPr>
          <w:rFonts w:ascii="Arial" w:hAnsi="Arial" w:cs="Arial"/>
        </w:rPr>
        <w:t xml:space="preserve">a </w:t>
      </w:r>
      <w:r w:rsidRPr="00252276">
        <w:rPr>
          <w:rFonts w:ascii="Arial" w:hAnsi="Arial" w:cs="Arial"/>
        </w:rPr>
        <w:t>physical visit is not supported.</w:t>
      </w:r>
    </w:p>
    <w:p w14:paraId="2168F0DE" w14:textId="2E1C1689" w:rsidR="005708D2" w:rsidRPr="00252276" w:rsidRDefault="005708D2" w:rsidP="00252276">
      <w:pPr>
        <w:spacing w:after="0" w:line="280" w:lineRule="atLeast"/>
        <w:contextualSpacing/>
        <w:mirrorIndents/>
        <w:rPr>
          <w:rFonts w:ascii="Arial" w:hAnsi="Arial" w:cs="Arial"/>
        </w:rPr>
      </w:pPr>
    </w:p>
    <w:p w14:paraId="0699598B" w14:textId="19A55FCF" w:rsidR="00A75D77" w:rsidRPr="00252276" w:rsidRDefault="00A75D77" w:rsidP="00252276">
      <w:pPr>
        <w:spacing w:after="0" w:line="280" w:lineRule="atLeast"/>
        <w:contextualSpacing/>
        <w:mirrorIndents/>
        <w:rPr>
          <w:rFonts w:ascii="Arial" w:hAnsi="Arial" w:cs="Arial"/>
          <w:b/>
          <w:bCs/>
        </w:rPr>
      </w:pPr>
      <w:r w:rsidRPr="00252276">
        <w:rPr>
          <w:rFonts w:ascii="Arial" w:hAnsi="Arial" w:cs="Arial"/>
          <w:b/>
          <w:bCs/>
        </w:rPr>
        <w:t>Virtual</w:t>
      </w:r>
      <w:r w:rsidR="00D42DAA" w:rsidRPr="00252276">
        <w:rPr>
          <w:rFonts w:ascii="Arial" w:hAnsi="Arial" w:cs="Arial"/>
          <w:b/>
          <w:bCs/>
        </w:rPr>
        <w:t xml:space="preserve"> Hospital</w:t>
      </w:r>
      <w:r w:rsidRPr="00252276">
        <w:rPr>
          <w:rFonts w:ascii="Arial" w:hAnsi="Arial" w:cs="Arial"/>
          <w:b/>
          <w:bCs/>
        </w:rPr>
        <w:t xml:space="preserve"> Visits</w:t>
      </w:r>
    </w:p>
    <w:p w14:paraId="69AB0BCD" w14:textId="77777777" w:rsidR="00BC2AA8" w:rsidRPr="00252276" w:rsidRDefault="00BC2AA8" w:rsidP="00252276">
      <w:pPr>
        <w:spacing w:after="0" w:line="280" w:lineRule="atLeast"/>
        <w:contextualSpacing/>
        <w:mirrorIndents/>
        <w:rPr>
          <w:rFonts w:ascii="Arial" w:hAnsi="Arial" w:cs="Arial"/>
          <w:b/>
          <w:bCs/>
        </w:rPr>
      </w:pPr>
    </w:p>
    <w:p w14:paraId="4C031A7D" w14:textId="0E36A908" w:rsidR="00A75D77" w:rsidRPr="00252276" w:rsidRDefault="00A75D77" w:rsidP="00252276">
      <w:pPr>
        <w:spacing w:after="0" w:line="280" w:lineRule="atLeast"/>
        <w:contextualSpacing/>
        <w:mirrorIndents/>
        <w:rPr>
          <w:rFonts w:ascii="Arial" w:hAnsi="Arial" w:cs="Arial"/>
        </w:rPr>
      </w:pPr>
      <w:r w:rsidRPr="00252276">
        <w:rPr>
          <w:rFonts w:ascii="Arial" w:hAnsi="Arial" w:cs="Arial"/>
        </w:rPr>
        <w:t>Many institutions allow for “virtual visits”. Governors should use technology to enable the contact if possible and appropriate, together with supportive measures from chaplaincy and other colleagues</w:t>
      </w:r>
      <w:r w:rsidR="00667454" w:rsidRPr="00252276">
        <w:rPr>
          <w:rFonts w:ascii="Arial" w:hAnsi="Arial" w:cs="Arial"/>
        </w:rPr>
        <w:t xml:space="preserve">, if a prisoner is not able to visit their dying relative </w:t>
      </w:r>
      <w:r w:rsidR="00920B28" w:rsidRPr="00252276">
        <w:rPr>
          <w:rFonts w:ascii="Arial" w:hAnsi="Arial" w:cs="Arial"/>
        </w:rPr>
        <w:t>through</w:t>
      </w:r>
      <w:r w:rsidR="00667454" w:rsidRPr="00252276">
        <w:rPr>
          <w:rFonts w:ascii="Arial" w:hAnsi="Arial" w:cs="Arial"/>
        </w:rPr>
        <w:t xml:space="preserve"> ROTL or </w:t>
      </w:r>
      <w:r w:rsidR="00920B28" w:rsidRPr="00252276">
        <w:rPr>
          <w:rFonts w:ascii="Arial" w:hAnsi="Arial" w:cs="Arial"/>
        </w:rPr>
        <w:t>o</w:t>
      </w:r>
      <w:r w:rsidR="00667454" w:rsidRPr="00252276">
        <w:rPr>
          <w:rFonts w:ascii="Arial" w:hAnsi="Arial" w:cs="Arial"/>
        </w:rPr>
        <w:t>n escort</w:t>
      </w:r>
      <w:r w:rsidRPr="00252276">
        <w:rPr>
          <w:rFonts w:ascii="Arial" w:hAnsi="Arial" w:cs="Arial"/>
        </w:rPr>
        <w:t>. The availability of technology should not encourage refusal of attendance in the first place but may be used where</w:t>
      </w:r>
      <w:r w:rsidR="00F71DF0" w:rsidRPr="00252276">
        <w:rPr>
          <w:rFonts w:ascii="Arial" w:hAnsi="Arial" w:cs="Arial"/>
        </w:rPr>
        <w:t xml:space="preserve"> a</w:t>
      </w:r>
      <w:r w:rsidRPr="00252276">
        <w:rPr>
          <w:rFonts w:ascii="Arial" w:hAnsi="Arial" w:cs="Arial"/>
        </w:rPr>
        <w:t xml:space="preserve"> physical visit is not supported.</w:t>
      </w:r>
    </w:p>
    <w:p w14:paraId="75961A4E" w14:textId="1A7C0E03" w:rsidR="005E23FB" w:rsidRPr="00252276" w:rsidRDefault="005E23FB" w:rsidP="00252276">
      <w:pPr>
        <w:spacing w:after="0" w:line="280" w:lineRule="atLeast"/>
        <w:contextualSpacing/>
        <w:mirrorIndents/>
        <w:rPr>
          <w:rFonts w:ascii="Arial" w:hAnsi="Arial" w:cs="Arial"/>
        </w:rPr>
      </w:pPr>
    </w:p>
    <w:p w14:paraId="24323D51" w14:textId="589EC336" w:rsidR="005E23FB" w:rsidRPr="00252276" w:rsidRDefault="005E23FB" w:rsidP="00252276">
      <w:pPr>
        <w:spacing w:after="0" w:line="280" w:lineRule="atLeast"/>
        <w:contextualSpacing/>
        <w:mirrorIndents/>
        <w:rPr>
          <w:rFonts w:ascii="Arial" w:hAnsi="Arial" w:cs="Arial"/>
        </w:rPr>
      </w:pPr>
      <w:r w:rsidRPr="00252276">
        <w:rPr>
          <w:rFonts w:ascii="Arial" w:hAnsi="Arial" w:cs="Arial"/>
        </w:rPr>
        <w:t xml:space="preserve">Please see the </w:t>
      </w:r>
      <w:hyperlink r:id="rId15" w:history="1">
        <w:r w:rsidRPr="00252276">
          <w:rPr>
            <w:rStyle w:val="Hyperlink"/>
            <w:rFonts w:ascii="Arial" w:hAnsi="Arial" w:cs="Arial"/>
          </w:rPr>
          <w:t>iPad Briefing</w:t>
        </w:r>
      </w:hyperlink>
      <w:r w:rsidRPr="00252276">
        <w:rPr>
          <w:rFonts w:ascii="Arial" w:hAnsi="Arial" w:cs="Arial"/>
        </w:rPr>
        <w:t xml:space="preserve"> for further information.</w:t>
      </w:r>
    </w:p>
    <w:p w14:paraId="13A8C10F" w14:textId="0F9CA64A" w:rsidR="00A75D77" w:rsidRDefault="00A75D77" w:rsidP="00252276">
      <w:pPr>
        <w:spacing w:after="0" w:line="280" w:lineRule="atLeast"/>
        <w:contextualSpacing/>
        <w:mirrorIndents/>
        <w:rPr>
          <w:rFonts w:ascii="Arial" w:hAnsi="Arial" w:cs="Arial"/>
        </w:rPr>
      </w:pPr>
    </w:p>
    <w:p w14:paraId="07A42062" w14:textId="77777777" w:rsidR="00252276" w:rsidRPr="00252276" w:rsidRDefault="00252276" w:rsidP="00252276">
      <w:pPr>
        <w:spacing w:after="0" w:line="280" w:lineRule="atLeast"/>
        <w:contextualSpacing/>
        <w:mirrorIndents/>
        <w:rPr>
          <w:rFonts w:ascii="Arial" w:hAnsi="Arial" w:cs="Arial"/>
        </w:rPr>
      </w:pPr>
    </w:p>
    <w:p w14:paraId="12852129" w14:textId="7673A6FD" w:rsidR="005708D2" w:rsidRPr="00252276" w:rsidRDefault="005708D2" w:rsidP="00252276">
      <w:pPr>
        <w:spacing w:after="0" w:line="280" w:lineRule="atLeast"/>
        <w:contextualSpacing/>
        <w:mirrorIndents/>
        <w:rPr>
          <w:rFonts w:ascii="Arial" w:hAnsi="Arial" w:cs="Arial"/>
          <w:b/>
        </w:rPr>
      </w:pPr>
      <w:r w:rsidRPr="00252276">
        <w:rPr>
          <w:rFonts w:ascii="Arial" w:hAnsi="Arial" w:cs="Arial"/>
          <w:b/>
        </w:rPr>
        <w:t>Cohorting Arrangements</w:t>
      </w:r>
    </w:p>
    <w:p w14:paraId="28B7EE8D" w14:textId="77777777" w:rsidR="00BC2AA8" w:rsidRPr="00252276" w:rsidRDefault="00BC2AA8" w:rsidP="00252276">
      <w:pPr>
        <w:spacing w:after="0" w:line="280" w:lineRule="atLeast"/>
        <w:contextualSpacing/>
        <w:mirrorIndents/>
        <w:rPr>
          <w:rFonts w:ascii="Arial" w:hAnsi="Arial" w:cs="Arial"/>
        </w:rPr>
      </w:pPr>
    </w:p>
    <w:p w14:paraId="1F2F6364" w14:textId="4FE0B760" w:rsidR="00A75D77" w:rsidRPr="00252276" w:rsidRDefault="005708D2" w:rsidP="00252276">
      <w:pPr>
        <w:spacing w:after="0" w:line="280" w:lineRule="atLeast"/>
        <w:contextualSpacing/>
        <w:mirrorIndents/>
        <w:rPr>
          <w:rFonts w:ascii="Arial" w:hAnsi="Arial" w:cs="Arial"/>
        </w:rPr>
      </w:pPr>
      <w:r w:rsidRPr="00252276">
        <w:rPr>
          <w:rFonts w:ascii="Arial" w:hAnsi="Arial" w:cs="Arial"/>
        </w:rPr>
        <w:t xml:space="preserve">In line with the </w:t>
      </w:r>
      <w:hyperlink r:id="rId16" w:history="1">
        <w:r w:rsidRPr="00252276">
          <w:rPr>
            <w:rStyle w:val="Hyperlink"/>
            <w:rFonts w:ascii="Arial" w:hAnsi="Arial" w:cs="Arial"/>
          </w:rPr>
          <w:t>HMPPS Cohorting Guidance</w:t>
        </w:r>
      </w:hyperlink>
      <w:r w:rsidRPr="00252276">
        <w:rPr>
          <w:rFonts w:ascii="Arial" w:hAnsi="Arial" w:cs="Arial"/>
        </w:rPr>
        <w:t xml:space="preserve"> (</w:t>
      </w:r>
      <w:r w:rsidR="00247FB0" w:rsidRPr="00252276">
        <w:rPr>
          <w:rFonts w:ascii="Arial" w:hAnsi="Arial" w:cs="Arial"/>
        </w:rPr>
        <w:t>issued December 2020),</w:t>
      </w:r>
      <w:r w:rsidRPr="00252276">
        <w:rPr>
          <w:rFonts w:ascii="Arial" w:hAnsi="Arial" w:cs="Arial"/>
        </w:rPr>
        <w:t xml:space="preserve"> P</w:t>
      </w:r>
      <w:r w:rsidR="00E84018" w:rsidRPr="00252276">
        <w:rPr>
          <w:rFonts w:ascii="Arial" w:hAnsi="Arial" w:cs="Arial"/>
        </w:rPr>
        <w:t>ublic Health England (P</w:t>
      </w:r>
      <w:r w:rsidRPr="00252276">
        <w:rPr>
          <w:rFonts w:ascii="Arial" w:hAnsi="Arial" w:cs="Arial"/>
        </w:rPr>
        <w:t>HE</w:t>
      </w:r>
      <w:r w:rsidR="00E84018" w:rsidRPr="00252276">
        <w:rPr>
          <w:rFonts w:ascii="Arial" w:hAnsi="Arial" w:cs="Arial"/>
        </w:rPr>
        <w:t>)</w:t>
      </w:r>
      <w:r w:rsidRPr="00252276">
        <w:rPr>
          <w:rFonts w:ascii="Arial" w:hAnsi="Arial" w:cs="Arial"/>
        </w:rPr>
        <w:t xml:space="preserve"> </w:t>
      </w:r>
      <w:r w:rsidR="00B64C67" w:rsidRPr="00252276">
        <w:rPr>
          <w:rFonts w:ascii="Arial" w:hAnsi="Arial" w:cs="Arial"/>
        </w:rPr>
        <w:t xml:space="preserve">has </w:t>
      </w:r>
      <w:r w:rsidRPr="00252276">
        <w:rPr>
          <w:rFonts w:ascii="Arial" w:hAnsi="Arial" w:cs="Arial"/>
        </w:rPr>
        <w:t>stated</w:t>
      </w:r>
      <w:r w:rsidR="00E84018" w:rsidRPr="00252276">
        <w:rPr>
          <w:rFonts w:ascii="Arial" w:hAnsi="Arial" w:cs="Arial"/>
        </w:rPr>
        <w:t xml:space="preserve"> that</w:t>
      </w:r>
      <w:r w:rsidRPr="00252276">
        <w:rPr>
          <w:rFonts w:ascii="Arial" w:hAnsi="Arial" w:cs="Arial"/>
        </w:rPr>
        <w:t xml:space="preserve"> establishments are not required to reverse cohort prisoners</w:t>
      </w:r>
      <w:r w:rsidR="00E84018" w:rsidRPr="00252276">
        <w:rPr>
          <w:rFonts w:ascii="Arial" w:hAnsi="Arial" w:cs="Arial"/>
        </w:rPr>
        <w:t xml:space="preserve"> </w:t>
      </w:r>
      <w:r w:rsidRPr="00252276">
        <w:rPr>
          <w:rFonts w:ascii="Arial" w:hAnsi="Arial" w:cs="Arial"/>
        </w:rPr>
        <w:t>who have been on one day escorts</w:t>
      </w:r>
      <w:r w:rsidR="00E84018" w:rsidRPr="00252276">
        <w:rPr>
          <w:rFonts w:ascii="Arial" w:hAnsi="Arial" w:cs="Arial"/>
        </w:rPr>
        <w:t xml:space="preserve">. This is because </w:t>
      </w:r>
      <w:r w:rsidRPr="00252276">
        <w:rPr>
          <w:rFonts w:ascii="Arial" w:hAnsi="Arial" w:cs="Arial"/>
        </w:rPr>
        <w:t xml:space="preserve">contact </w:t>
      </w:r>
      <w:r w:rsidR="008A5A43">
        <w:rPr>
          <w:rFonts w:ascii="Arial" w:hAnsi="Arial" w:cs="Arial"/>
        </w:rPr>
        <w:t xml:space="preserve">should have </w:t>
      </w:r>
      <w:r w:rsidRPr="00252276">
        <w:rPr>
          <w:rFonts w:ascii="Arial" w:hAnsi="Arial" w:cs="Arial"/>
        </w:rPr>
        <w:t xml:space="preserve">been minimised and social distancing </w:t>
      </w:r>
      <w:r w:rsidR="008A5A43">
        <w:rPr>
          <w:rFonts w:ascii="Arial" w:hAnsi="Arial" w:cs="Arial"/>
        </w:rPr>
        <w:t>should have</w:t>
      </w:r>
      <w:r w:rsidRPr="00252276">
        <w:rPr>
          <w:rFonts w:ascii="Arial" w:hAnsi="Arial" w:cs="Arial"/>
        </w:rPr>
        <w:t xml:space="preserve"> been in place throughout</w:t>
      </w:r>
      <w:r w:rsidR="008A5A43">
        <w:rPr>
          <w:rFonts w:ascii="Arial" w:hAnsi="Arial" w:cs="Arial"/>
        </w:rPr>
        <w:t>, in line with guidance.</w:t>
      </w:r>
      <w:bookmarkStart w:id="0" w:name="_GoBack"/>
      <w:bookmarkEnd w:id="0"/>
    </w:p>
    <w:p w14:paraId="1F2251FF" w14:textId="77777777" w:rsidR="00E84018" w:rsidRPr="00252276" w:rsidRDefault="00E84018" w:rsidP="00252276">
      <w:pPr>
        <w:spacing w:after="0" w:line="280" w:lineRule="atLeast"/>
        <w:contextualSpacing/>
        <w:mirrorIndents/>
        <w:rPr>
          <w:rFonts w:ascii="Arial" w:hAnsi="Arial" w:cs="Arial"/>
        </w:rPr>
      </w:pPr>
    </w:p>
    <w:p w14:paraId="33120AB7" w14:textId="04D661A1" w:rsidR="005708D2" w:rsidRPr="00252276" w:rsidRDefault="005708D2" w:rsidP="00252276">
      <w:pPr>
        <w:spacing w:after="0" w:line="280" w:lineRule="atLeast"/>
        <w:contextualSpacing/>
        <w:mirrorIndents/>
        <w:rPr>
          <w:rFonts w:ascii="Arial" w:hAnsi="Arial" w:cs="Arial"/>
        </w:rPr>
      </w:pPr>
      <w:r w:rsidRPr="00252276">
        <w:rPr>
          <w:rFonts w:ascii="Arial" w:hAnsi="Arial" w:cs="Arial"/>
        </w:rPr>
        <w:t>Escort staff should promote distancing and hand washing during the escort period and should record any breaches. In the event of contact breaches</w:t>
      </w:r>
      <w:r w:rsidR="00E84018" w:rsidRPr="00252276">
        <w:rPr>
          <w:rFonts w:ascii="Arial" w:hAnsi="Arial" w:cs="Arial"/>
        </w:rPr>
        <w:t>,</w:t>
      </w:r>
      <w:r w:rsidRPr="00252276">
        <w:rPr>
          <w:rFonts w:ascii="Arial" w:hAnsi="Arial" w:cs="Arial"/>
        </w:rPr>
        <w:t xml:space="preserve"> which meet the exposure criteria for contact with known cases set out in </w:t>
      </w:r>
      <w:hyperlink r:id="rId17" w:history="1">
        <w:r w:rsidRPr="00252276">
          <w:rPr>
            <w:rStyle w:val="Hyperlink"/>
            <w:rFonts w:ascii="Arial" w:hAnsi="Arial" w:cs="Arial"/>
          </w:rPr>
          <w:t xml:space="preserve">HMPPS Contact Tracing </w:t>
        </w:r>
        <w:r w:rsidR="0069403B" w:rsidRPr="00252276">
          <w:rPr>
            <w:rStyle w:val="Hyperlink"/>
            <w:rFonts w:ascii="Arial" w:hAnsi="Arial" w:cs="Arial"/>
          </w:rPr>
          <w:t>G</w:t>
        </w:r>
        <w:r w:rsidRPr="00252276">
          <w:rPr>
            <w:rStyle w:val="Hyperlink"/>
            <w:rFonts w:ascii="Arial" w:hAnsi="Arial" w:cs="Arial"/>
          </w:rPr>
          <w:t>uidance</w:t>
        </w:r>
      </w:hyperlink>
      <w:r w:rsidR="0069403B" w:rsidRPr="00252276">
        <w:rPr>
          <w:rFonts w:ascii="Arial" w:hAnsi="Arial" w:cs="Arial"/>
        </w:rPr>
        <w:t xml:space="preserve"> (issued November 2020)</w:t>
      </w:r>
      <w:r w:rsidRPr="00252276">
        <w:rPr>
          <w:rFonts w:ascii="Arial" w:hAnsi="Arial" w:cs="Arial"/>
        </w:rPr>
        <w:t xml:space="preserve">, a decision should be made jointly with the Prison Healthcare Service on whether reception to the Reverse Cohort Unit </w:t>
      </w:r>
      <w:r w:rsidR="00E84018" w:rsidRPr="00252276">
        <w:rPr>
          <w:rFonts w:ascii="Arial" w:hAnsi="Arial" w:cs="Arial"/>
        </w:rPr>
        <w:t xml:space="preserve">(RCU) </w:t>
      </w:r>
      <w:r w:rsidRPr="00252276">
        <w:rPr>
          <w:rFonts w:ascii="Arial" w:hAnsi="Arial" w:cs="Arial"/>
        </w:rPr>
        <w:t>is appropriate.</w:t>
      </w:r>
      <w:r w:rsidR="00745145" w:rsidRPr="00252276">
        <w:rPr>
          <w:rFonts w:ascii="Arial" w:hAnsi="Arial" w:cs="Arial"/>
        </w:rPr>
        <w:t xml:space="preserve"> </w:t>
      </w:r>
      <w:r w:rsidRPr="00252276">
        <w:rPr>
          <w:rFonts w:ascii="Arial" w:hAnsi="Arial" w:cs="Arial"/>
        </w:rPr>
        <w:t>Prisoners must be advised in advance that they may be located in the RCU if they do not maintain necessary C</w:t>
      </w:r>
      <w:r w:rsidR="00E84018" w:rsidRPr="00252276">
        <w:rPr>
          <w:rFonts w:ascii="Arial" w:hAnsi="Arial" w:cs="Arial"/>
        </w:rPr>
        <w:t>OVID</w:t>
      </w:r>
      <w:r w:rsidRPr="00252276">
        <w:rPr>
          <w:rFonts w:ascii="Arial" w:hAnsi="Arial" w:cs="Arial"/>
        </w:rPr>
        <w:t xml:space="preserve">-19 preventative behaviour during the </w:t>
      </w:r>
      <w:r w:rsidR="00E84018" w:rsidRPr="00252276">
        <w:rPr>
          <w:rFonts w:ascii="Arial" w:hAnsi="Arial" w:cs="Arial"/>
        </w:rPr>
        <w:t>escort</w:t>
      </w:r>
      <w:r w:rsidRPr="00252276">
        <w:rPr>
          <w:rFonts w:ascii="Arial" w:hAnsi="Arial" w:cs="Arial"/>
        </w:rPr>
        <w:t>.</w:t>
      </w:r>
    </w:p>
    <w:p w14:paraId="6AFBCBCE" w14:textId="77777777" w:rsidR="00E84018" w:rsidRPr="00252276" w:rsidRDefault="00E84018" w:rsidP="00252276">
      <w:pPr>
        <w:spacing w:after="0" w:line="280" w:lineRule="atLeast"/>
        <w:contextualSpacing/>
        <w:mirrorIndents/>
        <w:rPr>
          <w:rFonts w:ascii="Arial" w:hAnsi="Arial" w:cs="Arial"/>
        </w:rPr>
      </w:pPr>
    </w:p>
    <w:p w14:paraId="416F90C3" w14:textId="77777777" w:rsidR="00A75D77" w:rsidRPr="00252276" w:rsidRDefault="005708D2" w:rsidP="00252276">
      <w:pPr>
        <w:spacing w:after="0" w:line="280" w:lineRule="atLeast"/>
        <w:contextualSpacing/>
        <w:mirrorIndents/>
        <w:rPr>
          <w:rFonts w:ascii="Arial" w:hAnsi="Arial" w:cs="Arial"/>
        </w:rPr>
      </w:pPr>
      <w:r w:rsidRPr="00252276">
        <w:rPr>
          <w:rFonts w:ascii="Arial" w:hAnsi="Arial" w:cs="Arial"/>
        </w:rPr>
        <w:t xml:space="preserve">If distancing and hygiene requirements have been followed, </w:t>
      </w:r>
      <w:r w:rsidR="0022437C" w:rsidRPr="00252276">
        <w:rPr>
          <w:rFonts w:ascii="Arial" w:hAnsi="Arial" w:cs="Arial"/>
        </w:rPr>
        <w:t>the prisoner can return</w:t>
      </w:r>
      <w:r w:rsidRPr="00252276">
        <w:rPr>
          <w:rFonts w:ascii="Arial" w:hAnsi="Arial" w:cs="Arial"/>
        </w:rPr>
        <w:t xml:space="preserve"> to their original location</w:t>
      </w:r>
      <w:r w:rsidR="0022437C" w:rsidRPr="00252276">
        <w:rPr>
          <w:rFonts w:ascii="Arial" w:hAnsi="Arial" w:cs="Arial"/>
        </w:rPr>
        <w:t>.</w:t>
      </w:r>
    </w:p>
    <w:p w14:paraId="631DE03F" w14:textId="44A854B1" w:rsidR="00A75D77" w:rsidRPr="00252276" w:rsidRDefault="00A75D77" w:rsidP="00252276">
      <w:pPr>
        <w:spacing w:after="0" w:line="280" w:lineRule="atLeast"/>
        <w:contextualSpacing/>
        <w:mirrorIndents/>
        <w:rPr>
          <w:rFonts w:ascii="Arial" w:hAnsi="Arial" w:cs="Arial"/>
        </w:rPr>
      </w:pPr>
    </w:p>
    <w:p w14:paraId="08C5E0FF" w14:textId="47622EAF" w:rsidR="0079666E" w:rsidRPr="00252276" w:rsidRDefault="0079666E" w:rsidP="00252276">
      <w:pPr>
        <w:spacing w:after="0" w:line="280" w:lineRule="atLeast"/>
        <w:contextualSpacing/>
        <w:mirrorIndents/>
        <w:rPr>
          <w:rFonts w:ascii="Arial" w:hAnsi="Arial" w:cs="Arial"/>
          <w:b/>
          <w:bCs/>
        </w:rPr>
      </w:pPr>
      <w:r w:rsidRPr="00252276">
        <w:rPr>
          <w:rFonts w:ascii="Arial" w:hAnsi="Arial" w:cs="Arial"/>
          <w:b/>
          <w:bCs/>
        </w:rPr>
        <w:t>Wellbeing</w:t>
      </w:r>
    </w:p>
    <w:p w14:paraId="25F1E1BC" w14:textId="4B6DA7C9" w:rsidR="0079666E" w:rsidRPr="00252276" w:rsidRDefault="0079666E" w:rsidP="00252276">
      <w:pPr>
        <w:spacing w:after="0" w:line="280" w:lineRule="atLeast"/>
        <w:contextualSpacing/>
        <w:mirrorIndents/>
        <w:rPr>
          <w:rFonts w:ascii="Arial" w:hAnsi="Arial" w:cs="Arial"/>
        </w:rPr>
      </w:pPr>
    </w:p>
    <w:p w14:paraId="4A442F37" w14:textId="33B144F7" w:rsidR="0079666E" w:rsidRPr="00252276" w:rsidRDefault="0079666E" w:rsidP="00252276">
      <w:pPr>
        <w:spacing w:after="0" w:line="280" w:lineRule="atLeast"/>
        <w:contextualSpacing/>
        <w:rPr>
          <w:rFonts w:ascii="Arial" w:hAnsi="Arial" w:cs="Arial"/>
        </w:rPr>
      </w:pPr>
      <w:r w:rsidRPr="00252276">
        <w:rPr>
          <w:rFonts w:ascii="Arial" w:hAnsi="Arial" w:cs="Arial"/>
        </w:rPr>
        <w:t>Attending a funeral escort or visiting dying relatives can be potentially traumatic for our staff. It is important to ensure they are accessing appropriate support</w:t>
      </w:r>
      <w:r w:rsidR="00FD5FD4" w:rsidRPr="00252276">
        <w:rPr>
          <w:rFonts w:ascii="Arial" w:hAnsi="Arial" w:cs="Arial"/>
        </w:rPr>
        <w:t xml:space="preserve">, if requested. </w:t>
      </w:r>
      <w:r w:rsidRPr="00252276">
        <w:rPr>
          <w:rStyle w:val="scxw49854845"/>
          <w:rFonts w:ascii="Arial" w:hAnsi="Arial" w:cs="Arial"/>
        </w:rPr>
        <w:t>Manager’s should be conducting welfare checks with staff before and after escorts and understand the symptoms of acute stress post trauma. It may be appropriate to support staff through a variety of avenues including the local Care team, TRiM team, PAM assist/EAP Services. Including the staff members line manager would also be beneficial to provide “active monitoring” and ongoing support.</w:t>
      </w:r>
    </w:p>
    <w:p w14:paraId="128A9592" w14:textId="77777777" w:rsidR="00C14F20" w:rsidRPr="00252276" w:rsidRDefault="00C14F20" w:rsidP="00252276">
      <w:pPr>
        <w:spacing w:after="0" w:line="280" w:lineRule="atLeast"/>
        <w:contextualSpacing/>
        <w:rPr>
          <w:rFonts w:ascii="Arial" w:hAnsi="Arial" w:cs="Arial"/>
          <w:b/>
          <w:bCs/>
        </w:rPr>
      </w:pPr>
    </w:p>
    <w:p w14:paraId="234A3130" w14:textId="77777777" w:rsidR="00C14F20" w:rsidRPr="00252276" w:rsidRDefault="00C14F20" w:rsidP="00252276">
      <w:pPr>
        <w:spacing w:after="0" w:line="280" w:lineRule="atLeast"/>
        <w:contextualSpacing/>
        <w:rPr>
          <w:rFonts w:ascii="Arial" w:hAnsi="Arial" w:cs="Arial"/>
          <w:b/>
          <w:bCs/>
        </w:rPr>
      </w:pPr>
    </w:p>
    <w:p w14:paraId="31753A13" w14:textId="6998BAFB" w:rsidR="0083361C" w:rsidRPr="00252276" w:rsidRDefault="0083361C" w:rsidP="00252276">
      <w:pPr>
        <w:spacing w:after="0" w:line="280" w:lineRule="atLeast"/>
        <w:contextualSpacing/>
        <w:rPr>
          <w:rFonts w:ascii="Arial" w:hAnsi="Arial" w:cs="Arial"/>
          <w:b/>
          <w:bCs/>
        </w:rPr>
      </w:pPr>
      <w:r w:rsidRPr="00252276">
        <w:rPr>
          <w:rFonts w:ascii="Arial" w:hAnsi="Arial" w:cs="Arial"/>
          <w:b/>
          <w:bCs/>
        </w:rPr>
        <w:t>Useful Contacts</w:t>
      </w:r>
    </w:p>
    <w:p w14:paraId="7AFFB2F8" w14:textId="77777777" w:rsidR="0083361C" w:rsidRPr="00252276" w:rsidRDefault="0083361C" w:rsidP="00252276">
      <w:pPr>
        <w:spacing w:after="0" w:line="280" w:lineRule="atLeast"/>
        <w:contextualSpacing/>
        <w:rPr>
          <w:rFonts w:ascii="Arial" w:hAnsi="Arial" w:cs="Arial"/>
          <w:b/>
          <w:bCs/>
        </w:rPr>
      </w:pPr>
    </w:p>
    <w:p w14:paraId="7941B6BA" w14:textId="77777777" w:rsidR="0083361C" w:rsidRPr="00252276" w:rsidRDefault="0083361C" w:rsidP="00252276">
      <w:pPr>
        <w:pStyle w:val="ListParagraph"/>
        <w:numPr>
          <w:ilvl w:val="0"/>
          <w:numId w:val="4"/>
        </w:numPr>
        <w:spacing w:after="0" w:line="280" w:lineRule="atLeast"/>
        <w:rPr>
          <w:rFonts w:ascii="Arial" w:hAnsi="Arial" w:cs="Arial"/>
        </w:rPr>
      </w:pPr>
      <w:r w:rsidRPr="00252276">
        <w:rPr>
          <w:rFonts w:ascii="Arial" w:hAnsi="Arial" w:cs="Arial"/>
        </w:rPr>
        <w:t xml:space="preserve">Security Procedures FMB: </w:t>
      </w:r>
      <w:hyperlink r:id="rId18" w:history="1">
        <w:r w:rsidRPr="00252276">
          <w:rPr>
            <w:rStyle w:val="Hyperlink"/>
            <w:rFonts w:ascii="Arial" w:hAnsi="Arial" w:cs="Arial"/>
          </w:rPr>
          <w:t>SOCT.Procedures@justice.gov.uk</w:t>
        </w:r>
      </w:hyperlink>
    </w:p>
    <w:p w14:paraId="690BF6E1" w14:textId="77777777" w:rsidR="0083361C" w:rsidRPr="00252276" w:rsidRDefault="0083361C" w:rsidP="00252276">
      <w:pPr>
        <w:pStyle w:val="ListParagraph"/>
        <w:numPr>
          <w:ilvl w:val="0"/>
          <w:numId w:val="4"/>
        </w:numPr>
        <w:spacing w:after="0" w:line="280" w:lineRule="atLeast"/>
        <w:rPr>
          <w:rFonts w:ascii="Arial" w:hAnsi="Arial" w:cs="Arial"/>
          <w:b/>
          <w:bCs/>
        </w:rPr>
      </w:pPr>
      <w:r w:rsidRPr="00252276">
        <w:rPr>
          <w:rFonts w:ascii="Arial" w:hAnsi="Arial" w:cs="Arial"/>
        </w:rPr>
        <w:t xml:space="preserve">COVID GOLD FMB: </w:t>
      </w:r>
      <w:hyperlink r:id="rId19" w:history="1">
        <w:r w:rsidRPr="00252276">
          <w:rPr>
            <w:rStyle w:val="Hyperlink"/>
            <w:rFonts w:ascii="Arial" w:hAnsi="Arial" w:cs="Arial"/>
          </w:rPr>
          <w:t>HMPPSCOVID19@justice.gov.uk</w:t>
        </w:r>
      </w:hyperlink>
    </w:p>
    <w:p w14:paraId="0B0AF294" w14:textId="77777777" w:rsidR="0083361C" w:rsidRPr="00252276" w:rsidRDefault="0083361C" w:rsidP="00252276">
      <w:pPr>
        <w:spacing w:after="0" w:line="280" w:lineRule="atLeast"/>
        <w:contextualSpacing/>
        <w:rPr>
          <w:rFonts w:ascii="Arial" w:hAnsi="Arial" w:cs="Arial"/>
          <w:b/>
          <w:bCs/>
        </w:rPr>
      </w:pPr>
    </w:p>
    <w:p w14:paraId="3E08CD44" w14:textId="77777777" w:rsidR="0083361C" w:rsidRPr="00252276" w:rsidRDefault="0083361C" w:rsidP="00252276">
      <w:pPr>
        <w:spacing w:after="0" w:line="280" w:lineRule="atLeast"/>
        <w:contextualSpacing/>
        <w:rPr>
          <w:rFonts w:ascii="Arial" w:hAnsi="Arial" w:cs="Arial"/>
          <w:b/>
          <w:bCs/>
        </w:rPr>
      </w:pPr>
    </w:p>
    <w:p w14:paraId="72B777B3" w14:textId="21F81E28" w:rsidR="0083361C" w:rsidRPr="00252276" w:rsidRDefault="0083361C" w:rsidP="00252276">
      <w:pPr>
        <w:spacing w:after="0" w:line="280" w:lineRule="atLeast"/>
        <w:contextualSpacing/>
        <w:rPr>
          <w:rFonts w:ascii="Arial" w:hAnsi="Arial" w:cs="Arial"/>
          <w:b/>
          <w:bCs/>
        </w:rPr>
      </w:pPr>
      <w:r w:rsidRPr="00252276">
        <w:rPr>
          <w:rFonts w:ascii="Arial" w:hAnsi="Arial" w:cs="Arial"/>
          <w:b/>
          <w:bCs/>
        </w:rPr>
        <w:t>Supporting Documents</w:t>
      </w:r>
    </w:p>
    <w:p w14:paraId="46A9B30E" w14:textId="77777777" w:rsidR="0083361C" w:rsidRPr="00252276" w:rsidRDefault="0083361C" w:rsidP="00252276">
      <w:pPr>
        <w:spacing w:after="0" w:line="280" w:lineRule="atLeast"/>
        <w:contextualSpacing/>
        <w:rPr>
          <w:rFonts w:ascii="Arial" w:hAnsi="Arial" w:cs="Arial"/>
          <w:b/>
          <w:bCs/>
        </w:rPr>
      </w:pPr>
    </w:p>
    <w:p w14:paraId="0378119B" w14:textId="77777777" w:rsidR="0083361C" w:rsidRPr="00252276" w:rsidRDefault="00642084" w:rsidP="00252276">
      <w:pPr>
        <w:pStyle w:val="ListParagraph"/>
        <w:numPr>
          <w:ilvl w:val="0"/>
          <w:numId w:val="3"/>
        </w:numPr>
        <w:spacing w:after="0" w:line="280" w:lineRule="atLeast"/>
        <w:rPr>
          <w:rFonts w:ascii="Arial" w:hAnsi="Arial" w:cs="Arial"/>
        </w:rPr>
      </w:pPr>
      <w:hyperlink r:id="rId20" w:history="1">
        <w:r w:rsidR="0083361C" w:rsidRPr="00252276">
          <w:rPr>
            <w:rStyle w:val="Hyperlink"/>
            <w:rFonts w:ascii="Arial" w:hAnsi="Arial" w:cs="Arial"/>
          </w:rPr>
          <w:t>PSI 33/2015 – External Prisoner Movement</w:t>
        </w:r>
      </w:hyperlink>
    </w:p>
    <w:p w14:paraId="30481949" w14:textId="77777777" w:rsidR="0083361C" w:rsidRPr="00252276" w:rsidRDefault="00642084" w:rsidP="00252276">
      <w:pPr>
        <w:pStyle w:val="ListParagraph"/>
        <w:numPr>
          <w:ilvl w:val="0"/>
          <w:numId w:val="3"/>
        </w:numPr>
        <w:spacing w:after="0" w:line="280" w:lineRule="atLeast"/>
        <w:rPr>
          <w:rFonts w:ascii="Arial" w:hAnsi="Arial" w:cs="Arial"/>
        </w:rPr>
      </w:pPr>
      <w:hyperlink r:id="rId21" w:history="1">
        <w:r w:rsidR="0083361C" w:rsidRPr="00252276">
          <w:rPr>
            <w:rStyle w:val="Hyperlink"/>
            <w:rFonts w:ascii="Arial" w:hAnsi="Arial" w:cs="Arial"/>
          </w:rPr>
          <w:t>PSI 16/2011 – Providing Visits and Service to Visitors</w:t>
        </w:r>
      </w:hyperlink>
    </w:p>
    <w:p w14:paraId="58FEE547" w14:textId="77777777" w:rsidR="0083361C" w:rsidRPr="00252276" w:rsidRDefault="00642084" w:rsidP="00252276">
      <w:pPr>
        <w:pStyle w:val="ListParagraph"/>
        <w:numPr>
          <w:ilvl w:val="0"/>
          <w:numId w:val="3"/>
        </w:numPr>
        <w:spacing w:after="0" w:line="280" w:lineRule="atLeast"/>
        <w:rPr>
          <w:rFonts w:ascii="Arial" w:hAnsi="Arial" w:cs="Arial"/>
        </w:rPr>
      </w:pPr>
      <w:hyperlink r:id="rId22" w:history="1">
        <w:r w:rsidR="0083361C" w:rsidRPr="00252276">
          <w:rPr>
            <w:rStyle w:val="Hyperlink"/>
            <w:rFonts w:ascii="Arial" w:hAnsi="Arial" w:cs="Arial"/>
          </w:rPr>
          <w:t>COVID-19 – External Escorts and Bedwatches Security Guidance (January 2021)</w:t>
        </w:r>
      </w:hyperlink>
    </w:p>
    <w:p w14:paraId="45AEB3E0" w14:textId="77777777" w:rsidR="0083361C" w:rsidRPr="00252276" w:rsidRDefault="00642084" w:rsidP="00252276">
      <w:pPr>
        <w:pStyle w:val="ListParagraph"/>
        <w:numPr>
          <w:ilvl w:val="0"/>
          <w:numId w:val="3"/>
        </w:numPr>
        <w:spacing w:after="0" w:line="280" w:lineRule="atLeast"/>
        <w:rPr>
          <w:rFonts w:ascii="Arial" w:hAnsi="Arial" w:cs="Arial"/>
        </w:rPr>
      </w:pPr>
      <w:hyperlink r:id="rId23" w:history="1">
        <w:r w:rsidR="0083361C" w:rsidRPr="00252276">
          <w:rPr>
            <w:rStyle w:val="Hyperlink"/>
            <w:rFonts w:ascii="Arial" w:hAnsi="Arial" w:cs="Arial"/>
          </w:rPr>
          <w:t>Briefing: Hospital Escorts and Bedwatches during COVID-19 (January 2021)</w:t>
        </w:r>
      </w:hyperlink>
    </w:p>
    <w:p w14:paraId="5A378578" w14:textId="77777777" w:rsidR="0083361C" w:rsidRPr="00252276" w:rsidRDefault="00642084" w:rsidP="00252276">
      <w:pPr>
        <w:pStyle w:val="ListParagraph"/>
        <w:numPr>
          <w:ilvl w:val="0"/>
          <w:numId w:val="3"/>
        </w:numPr>
        <w:spacing w:after="0" w:line="280" w:lineRule="atLeast"/>
        <w:rPr>
          <w:rFonts w:ascii="Arial" w:hAnsi="Arial" w:cs="Arial"/>
        </w:rPr>
      </w:pPr>
      <w:hyperlink r:id="rId24" w:history="1">
        <w:r w:rsidR="0083361C" w:rsidRPr="00252276">
          <w:rPr>
            <w:rStyle w:val="Hyperlink"/>
            <w:rFonts w:ascii="Arial" w:hAnsi="Arial" w:cs="Arial"/>
          </w:rPr>
          <w:t>SOP v6.2 – Escorts and Bedwatches (February 2021)</w:t>
        </w:r>
      </w:hyperlink>
    </w:p>
    <w:p w14:paraId="1F08386B" w14:textId="77777777" w:rsidR="0083361C" w:rsidRPr="00252276" w:rsidRDefault="00642084" w:rsidP="00252276">
      <w:pPr>
        <w:pStyle w:val="ListParagraph"/>
        <w:numPr>
          <w:ilvl w:val="0"/>
          <w:numId w:val="3"/>
        </w:numPr>
        <w:spacing w:after="0" w:line="280" w:lineRule="atLeast"/>
        <w:rPr>
          <w:rFonts w:ascii="Arial" w:hAnsi="Arial" w:cs="Arial"/>
        </w:rPr>
      </w:pPr>
      <w:hyperlink r:id="rId25" w:history="1">
        <w:r w:rsidR="0083361C" w:rsidRPr="00252276">
          <w:rPr>
            <w:rStyle w:val="Hyperlink"/>
            <w:rFonts w:ascii="Arial" w:hAnsi="Arial" w:cs="Arial"/>
          </w:rPr>
          <w:t>SOP v6.2 – Operational Tasks (February 2021)</w:t>
        </w:r>
      </w:hyperlink>
    </w:p>
    <w:p w14:paraId="196922F6" w14:textId="77777777" w:rsidR="0083361C" w:rsidRPr="00252276" w:rsidRDefault="00642084" w:rsidP="00252276">
      <w:pPr>
        <w:pStyle w:val="ListParagraph"/>
        <w:numPr>
          <w:ilvl w:val="0"/>
          <w:numId w:val="3"/>
        </w:numPr>
        <w:spacing w:after="0" w:line="280" w:lineRule="atLeast"/>
        <w:rPr>
          <w:rFonts w:ascii="Arial" w:hAnsi="Arial" w:cs="Arial"/>
        </w:rPr>
      </w:pPr>
      <w:hyperlink r:id="rId26" w:history="1">
        <w:r w:rsidR="0083361C" w:rsidRPr="00252276">
          <w:rPr>
            <w:rStyle w:val="Hyperlink"/>
            <w:rFonts w:ascii="Arial" w:hAnsi="Arial" w:cs="Arial"/>
          </w:rPr>
          <w:t>HMPPS Cohorting and Compartmentalisation Guidance (December 2020)</w:t>
        </w:r>
      </w:hyperlink>
    </w:p>
    <w:p w14:paraId="716EF2C8" w14:textId="77777777" w:rsidR="0083361C" w:rsidRPr="00252276" w:rsidRDefault="00642084" w:rsidP="00252276">
      <w:pPr>
        <w:pStyle w:val="ListParagraph"/>
        <w:numPr>
          <w:ilvl w:val="0"/>
          <w:numId w:val="3"/>
        </w:numPr>
        <w:spacing w:after="0" w:line="280" w:lineRule="atLeast"/>
        <w:rPr>
          <w:rFonts w:ascii="Arial" w:hAnsi="Arial" w:cs="Arial"/>
        </w:rPr>
      </w:pPr>
      <w:hyperlink r:id="rId27" w:history="1">
        <w:r w:rsidR="0083361C" w:rsidRPr="00252276">
          <w:rPr>
            <w:rStyle w:val="Hyperlink"/>
            <w:rFonts w:ascii="Arial" w:hAnsi="Arial" w:cs="Arial"/>
          </w:rPr>
          <w:t>iPad Briefing</w:t>
        </w:r>
      </w:hyperlink>
    </w:p>
    <w:p w14:paraId="4864E46F" w14:textId="77777777" w:rsidR="0083361C" w:rsidRPr="00252276" w:rsidRDefault="00642084" w:rsidP="00252276">
      <w:pPr>
        <w:pStyle w:val="ListParagraph"/>
        <w:numPr>
          <w:ilvl w:val="0"/>
          <w:numId w:val="3"/>
        </w:numPr>
        <w:spacing w:after="0" w:line="280" w:lineRule="atLeast"/>
        <w:rPr>
          <w:rFonts w:ascii="Arial" w:hAnsi="Arial" w:cs="Arial"/>
        </w:rPr>
      </w:pPr>
      <w:hyperlink r:id="rId28" w:history="1">
        <w:r w:rsidR="0083361C" w:rsidRPr="00252276">
          <w:rPr>
            <w:rStyle w:val="Hyperlink"/>
            <w:rFonts w:ascii="Arial" w:hAnsi="Arial" w:cs="Arial"/>
          </w:rPr>
          <w:t>Government COVID-19 Response: Spring 2021</w:t>
        </w:r>
      </w:hyperlink>
    </w:p>
    <w:p w14:paraId="54A18003" w14:textId="77777777" w:rsidR="005708D2" w:rsidRPr="00252276" w:rsidRDefault="005708D2" w:rsidP="00252276">
      <w:pPr>
        <w:spacing w:after="0" w:line="280" w:lineRule="atLeast"/>
        <w:contextualSpacing/>
        <w:mirrorIndents/>
        <w:rPr>
          <w:rFonts w:ascii="Arial" w:hAnsi="Arial" w:cs="Arial"/>
        </w:rPr>
      </w:pPr>
    </w:p>
    <w:p w14:paraId="4B48531F" w14:textId="3E81DCFD" w:rsidR="005708D2" w:rsidRPr="00252276" w:rsidRDefault="005708D2" w:rsidP="00252276">
      <w:pPr>
        <w:spacing w:after="0" w:line="280" w:lineRule="atLeast"/>
        <w:contextualSpacing/>
        <w:mirrorIndents/>
        <w:jc w:val="both"/>
        <w:rPr>
          <w:rFonts w:ascii="Arial" w:hAnsi="Arial" w:cs="Arial"/>
        </w:rPr>
      </w:pPr>
    </w:p>
    <w:p w14:paraId="0DC6D1F3" w14:textId="642114C2" w:rsidR="00422098" w:rsidRPr="00252276" w:rsidRDefault="00422098" w:rsidP="00252276">
      <w:pPr>
        <w:spacing w:after="0" w:line="280" w:lineRule="atLeast"/>
        <w:contextualSpacing/>
        <w:mirrorIndents/>
        <w:jc w:val="both"/>
        <w:rPr>
          <w:rFonts w:ascii="Arial" w:hAnsi="Arial" w:cs="Arial"/>
          <w:b/>
          <w:bCs/>
        </w:rPr>
      </w:pPr>
      <w:r w:rsidRPr="00252276">
        <w:rPr>
          <w:rFonts w:ascii="Arial" w:hAnsi="Arial" w:cs="Arial"/>
          <w:b/>
          <w:bCs/>
        </w:rPr>
        <w:t xml:space="preserve">Security Procedures Team, </w:t>
      </w:r>
    </w:p>
    <w:p w14:paraId="7519FEDA" w14:textId="7DF31F89" w:rsidR="005708D2" w:rsidRPr="00252276" w:rsidRDefault="00422098" w:rsidP="00252276">
      <w:pPr>
        <w:spacing w:after="0" w:line="280" w:lineRule="atLeast"/>
        <w:contextualSpacing/>
        <w:mirrorIndents/>
        <w:jc w:val="both"/>
        <w:rPr>
          <w:rFonts w:ascii="Arial" w:hAnsi="Arial" w:cs="Arial"/>
          <w:b/>
          <w:bCs/>
        </w:rPr>
      </w:pPr>
      <w:r w:rsidRPr="00252276">
        <w:rPr>
          <w:rFonts w:ascii="Arial" w:hAnsi="Arial" w:cs="Arial"/>
          <w:b/>
          <w:bCs/>
        </w:rPr>
        <w:t>Risk and Capabilit</w:t>
      </w:r>
      <w:r w:rsidR="008A4709" w:rsidRPr="00252276">
        <w:rPr>
          <w:rFonts w:ascii="Arial" w:hAnsi="Arial" w:cs="Arial"/>
          <w:b/>
          <w:bCs/>
        </w:rPr>
        <w:t>ies</w:t>
      </w:r>
      <w:r w:rsidRPr="00252276">
        <w:rPr>
          <w:rFonts w:ascii="Arial" w:hAnsi="Arial" w:cs="Arial"/>
          <w:b/>
          <w:bCs/>
        </w:rPr>
        <w:t xml:space="preserve"> Unit </w:t>
      </w:r>
      <w:r w:rsidR="00961EDA" w:rsidRPr="00252276">
        <w:rPr>
          <w:rFonts w:ascii="Arial" w:hAnsi="Arial" w:cs="Arial"/>
          <w:b/>
          <w:bCs/>
        </w:rPr>
        <w:t>(RaCU)</w:t>
      </w:r>
    </w:p>
    <w:p w14:paraId="3E17864D" w14:textId="6DE44278" w:rsidR="00422098" w:rsidRPr="00252276" w:rsidRDefault="00422098" w:rsidP="00252276">
      <w:pPr>
        <w:spacing w:after="0" w:line="280" w:lineRule="atLeast"/>
        <w:contextualSpacing/>
        <w:mirrorIndents/>
        <w:jc w:val="both"/>
        <w:rPr>
          <w:rFonts w:ascii="Arial" w:hAnsi="Arial" w:cs="Arial"/>
          <w:b/>
          <w:bCs/>
        </w:rPr>
      </w:pPr>
      <w:r w:rsidRPr="00252276">
        <w:rPr>
          <w:rFonts w:ascii="Arial" w:hAnsi="Arial" w:cs="Arial"/>
          <w:b/>
          <w:bCs/>
        </w:rPr>
        <w:t xml:space="preserve">Security, Order and Counter Terrorism </w:t>
      </w:r>
      <w:r w:rsidR="00961EDA" w:rsidRPr="00252276">
        <w:rPr>
          <w:rFonts w:ascii="Arial" w:hAnsi="Arial" w:cs="Arial"/>
          <w:b/>
          <w:bCs/>
        </w:rPr>
        <w:t xml:space="preserve">(SOCT) </w:t>
      </w:r>
      <w:r w:rsidR="008A4709" w:rsidRPr="00252276">
        <w:rPr>
          <w:rFonts w:ascii="Arial" w:hAnsi="Arial" w:cs="Arial"/>
          <w:b/>
          <w:bCs/>
        </w:rPr>
        <w:t xml:space="preserve">Directorate </w:t>
      </w:r>
    </w:p>
    <w:p w14:paraId="4E51C450" w14:textId="3FB13846" w:rsidR="00422098" w:rsidRPr="00252276" w:rsidRDefault="00422098" w:rsidP="00252276">
      <w:pPr>
        <w:spacing w:after="0" w:line="280" w:lineRule="atLeast"/>
        <w:contextualSpacing/>
        <w:mirrorIndents/>
        <w:jc w:val="both"/>
        <w:rPr>
          <w:rFonts w:ascii="Arial" w:hAnsi="Arial" w:cs="Arial"/>
          <w:b/>
          <w:bCs/>
        </w:rPr>
      </w:pPr>
      <w:r w:rsidRPr="00252276">
        <w:rPr>
          <w:rFonts w:ascii="Arial" w:hAnsi="Arial" w:cs="Arial"/>
          <w:b/>
          <w:bCs/>
        </w:rPr>
        <w:t>May 2021</w:t>
      </w:r>
    </w:p>
    <w:p w14:paraId="04818441" w14:textId="4271C750" w:rsidR="005708D2" w:rsidRPr="00592C69" w:rsidRDefault="005708D2" w:rsidP="00592C69">
      <w:pPr>
        <w:spacing w:after="0" w:line="280" w:lineRule="atLeast"/>
        <w:contextualSpacing/>
        <w:rPr>
          <w:rFonts w:ascii="Arial" w:hAnsi="Arial" w:cs="Arial"/>
          <w:b/>
          <w:bCs/>
        </w:rPr>
      </w:pPr>
    </w:p>
    <w:sectPr w:rsidR="005708D2" w:rsidRPr="00592C69" w:rsidSect="00BC2AA8">
      <w:headerReference w:type="default" r:id="rId29"/>
      <w:footerReference w:type="default" r:id="rId30"/>
      <w:headerReference w:type="first" r:id="rId31"/>
      <w:footerReference w:type="first" r:id="rId3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348B" w14:textId="77777777" w:rsidR="00642084" w:rsidRDefault="00642084" w:rsidP="00A6485C">
      <w:pPr>
        <w:spacing w:after="0" w:line="240" w:lineRule="auto"/>
      </w:pPr>
      <w:r>
        <w:separator/>
      </w:r>
    </w:p>
  </w:endnote>
  <w:endnote w:type="continuationSeparator" w:id="0">
    <w:p w14:paraId="6272A93E" w14:textId="77777777" w:rsidR="00642084" w:rsidRDefault="00642084" w:rsidP="00A6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262C" w14:textId="43C90172" w:rsidR="00700C16" w:rsidRPr="00854F22" w:rsidRDefault="00700C16" w:rsidP="00854F22">
    <w:pPr>
      <w:pStyle w:val="Footer"/>
      <w:jc w:val="center"/>
      <w:rPr>
        <w:b/>
        <w:bCs/>
      </w:rPr>
    </w:pPr>
    <w:r w:rsidRPr="00854F22">
      <w:rPr>
        <w:b/>
        <w:bCs/>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1419" w14:textId="6960296C" w:rsidR="00700C16" w:rsidRPr="00854F22" w:rsidRDefault="00700C16" w:rsidP="00854F22">
    <w:pPr>
      <w:pStyle w:val="Footer"/>
      <w:jc w:val="center"/>
      <w:rPr>
        <w:b/>
        <w:bCs/>
      </w:rPr>
    </w:pPr>
    <w:r>
      <w:rPr>
        <w:b/>
        <w:bCs/>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3397E" w14:textId="77777777" w:rsidR="00642084" w:rsidRDefault="00642084" w:rsidP="00A6485C">
      <w:pPr>
        <w:spacing w:after="0" w:line="240" w:lineRule="auto"/>
      </w:pPr>
      <w:r>
        <w:separator/>
      </w:r>
    </w:p>
  </w:footnote>
  <w:footnote w:type="continuationSeparator" w:id="0">
    <w:p w14:paraId="5ADDDD15" w14:textId="77777777" w:rsidR="00642084" w:rsidRDefault="00642084" w:rsidP="00A64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82BD" w14:textId="738FDA3A" w:rsidR="00A6485C" w:rsidRPr="008A4709" w:rsidRDefault="00A6485C" w:rsidP="003E16EA">
    <w:pPr>
      <w:pStyle w:val="Header"/>
      <w:jc w:val="center"/>
      <w:rPr>
        <w:rFonts w:ascii="Arial" w:hAnsi="Arial" w:cs="Arial"/>
        <w:b/>
        <w:bCs/>
        <w:sz w:val="20"/>
        <w:szCs w:val="20"/>
      </w:rPr>
    </w:pPr>
    <w:r w:rsidRPr="008A4709">
      <w:rPr>
        <w:rFonts w:ascii="Arial" w:hAnsi="Arial" w:cs="Arial"/>
        <w:b/>
        <w:bCs/>
        <w:sz w:val="20"/>
        <w:szCs w:val="20"/>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E8BE" w14:textId="3AE0DA10" w:rsidR="008A4709" w:rsidRPr="008A4709" w:rsidRDefault="008A4709" w:rsidP="00700C16">
    <w:pPr>
      <w:pStyle w:val="Header"/>
      <w:jc w:val="center"/>
      <w:rPr>
        <w:rFonts w:ascii="Arial" w:hAnsi="Arial" w:cs="Arial"/>
        <w:b/>
        <w:bCs/>
        <w:sz w:val="20"/>
        <w:szCs w:val="20"/>
      </w:rPr>
    </w:pPr>
    <w:r w:rsidRPr="008A4709">
      <w:rPr>
        <w:rFonts w:ascii="Arial" w:hAnsi="Arial" w:cs="Arial"/>
        <w:b/>
        <w:bCs/>
        <w:noProof/>
        <w:sz w:val="20"/>
        <w:szCs w:val="20"/>
        <w:lang w:eastAsia="en-GB"/>
      </w:rPr>
      <w:drawing>
        <wp:anchor distT="0" distB="0" distL="114300" distR="114300" simplePos="0" relativeHeight="251661312" behindDoc="1" locked="1" layoutInCell="1" allowOverlap="1" wp14:anchorId="2E0CAD83" wp14:editId="107FF69F">
          <wp:simplePos x="0" y="0"/>
          <wp:positionH relativeFrom="page">
            <wp:posOffset>374650</wp:posOffset>
          </wp:positionH>
          <wp:positionV relativeFrom="topMargin">
            <wp:posOffset>99695</wp:posOffset>
          </wp:positionV>
          <wp:extent cx="1551305" cy="881380"/>
          <wp:effectExtent l="0" t="0" r="0" b="0"/>
          <wp:wrapTight wrapText="bothSides">
            <wp:wrapPolygon edited="0">
              <wp:start x="3713" y="6536"/>
              <wp:lineTo x="3713" y="20542"/>
              <wp:lineTo x="20424" y="20542"/>
              <wp:lineTo x="20689" y="18674"/>
              <wp:lineTo x="19628" y="17274"/>
              <wp:lineTo x="16445" y="14473"/>
              <wp:lineTo x="14323" y="12138"/>
              <wp:lineTo x="7957" y="6536"/>
              <wp:lineTo x="3713" y="65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30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4709">
      <w:rPr>
        <w:rFonts w:ascii="Arial" w:hAnsi="Arial" w:cs="Arial"/>
        <w:b/>
        <w:bCs/>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0F8"/>
    <w:multiLevelType w:val="hybridMultilevel"/>
    <w:tmpl w:val="D0EC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C5BAC"/>
    <w:multiLevelType w:val="hybridMultilevel"/>
    <w:tmpl w:val="28E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95F52"/>
    <w:multiLevelType w:val="hybridMultilevel"/>
    <w:tmpl w:val="217E4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91C4A"/>
    <w:multiLevelType w:val="hybridMultilevel"/>
    <w:tmpl w:val="CCC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5119E"/>
    <w:multiLevelType w:val="hybridMultilevel"/>
    <w:tmpl w:val="D7DCA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50CA9"/>
    <w:multiLevelType w:val="hybridMultilevel"/>
    <w:tmpl w:val="DEE4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0B"/>
    <w:rsid w:val="000259CF"/>
    <w:rsid w:val="00082E9C"/>
    <w:rsid w:val="00092BC6"/>
    <w:rsid w:val="0011026E"/>
    <w:rsid w:val="001211CB"/>
    <w:rsid w:val="00164E8A"/>
    <w:rsid w:val="001B53B5"/>
    <w:rsid w:val="001F3982"/>
    <w:rsid w:val="00202D48"/>
    <w:rsid w:val="0022437C"/>
    <w:rsid w:val="00226B34"/>
    <w:rsid w:val="00237153"/>
    <w:rsid w:val="00240F2A"/>
    <w:rsid w:val="00247FB0"/>
    <w:rsid w:val="00252276"/>
    <w:rsid w:val="00294512"/>
    <w:rsid w:val="002B0C1E"/>
    <w:rsid w:val="002C2829"/>
    <w:rsid w:val="002D2CC6"/>
    <w:rsid w:val="002D4461"/>
    <w:rsid w:val="002E3965"/>
    <w:rsid w:val="003435E4"/>
    <w:rsid w:val="003551E6"/>
    <w:rsid w:val="00363CBF"/>
    <w:rsid w:val="003668F9"/>
    <w:rsid w:val="003E16EA"/>
    <w:rsid w:val="003E3287"/>
    <w:rsid w:val="00422098"/>
    <w:rsid w:val="00445DDD"/>
    <w:rsid w:val="00453BBB"/>
    <w:rsid w:val="00471193"/>
    <w:rsid w:val="00481EF9"/>
    <w:rsid w:val="00486B2E"/>
    <w:rsid w:val="004B0733"/>
    <w:rsid w:val="004E5B68"/>
    <w:rsid w:val="004F2056"/>
    <w:rsid w:val="00527ABD"/>
    <w:rsid w:val="005708D2"/>
    <w:rsid w:val="005769BA"/>
    <w:rsid w:val="00592C69"/>
    <w:rsid w:val="005973CC"/>
    <w:rsid w:val="005A03AF"/>
    <w:rsid w:val="005E23FB"/>
    <w:rsid w:val="006355A3"/>
    <w:rsid w:val="00642084"/>
    <w:rsid w:val="00667454"/>
    <w:rsid w:val="00671D3C"/>
    <w:rsid w:val="0069403B"/>
    <w:rsid w:val="006C4098"/>
    <w:rsid w:val="00700C16"/>
    <w:rsid w:val="0073208D"/>
    <w:rsid w:val="007422B7"/>
    <w:rsid w:val="00745145"/>
    <w:rsid w:val="00747C0D"/>
    <w:rsid w:val="00790B18"/>
    <w:rsid w:val="0079666E"/>
    <w:rsid w:val="007E2BE3"/>
    <w:rsid w:val="007E3E39"/>
    <w:rsid w:val="00814E4E"/>
    <w:rsid w:val="008270C4"/>
    <w:rsid w:val="008306FA"/>
    <w:rsid w:val="0083361C"/>
    <w:rsid w:val="00854F22"/>
    <w:rsid w:val="00857BB9"/>
    <w:rsid w:val="008A28F5"/>
    <w:rsid w:val="008A4709"/>
    <w:rsid w:val="008A5A43"/>
    <w:rsid w:val="008A5BF1"/>
    <w:rsid w:val="008F243A"/>
    <w:rsid w:val="00920B28"/>
    <w:rsid w:val="00961EDA"/>
    <w:rsid w:val="009620E4"/>
    <w:rsid w:val="00971544"/>
    <w:rsid w:val="009E59D5"/>
    <w:rsid w:val="00A2334F"/>
    <w:rsid w:val="00A358D8"/>
    <w:rsid w:val="00A45D5B"/>
    <w:rsid w:val="00A6485C"/>
    <w:rsid w:val="00A75D77"/>
    <w:rsid w:val="00AF7291"/>
    <w:rsid w:val="00B64C67"/>
    <w:rsid w:val="00B970EB"/>
    <w:rsid w:val="00BA716E"/>
    <w:rsid w:val="00BC2AA8"/>
    <w:rsid w:val="00C14F20"/>
    <w:rsid w:val="00C32CC5"/>
    <w:rsid w:val="00C4014F"/>
    <w:rsid w:val="00C76DC4"/>
    <w:rsid w:val="00D15CDD"/>
    <w:rsid w:val="00D26D63"/>
    <w:rsid w:val="00D42DAA"/>
    <w:rsid w:val="00D90890"/>
    <w:rsid w:val="00D910A0"/>
    <w:rsid w:val="00D96A08"/>
    <w:rsid w:val="00DF63EB"/>
    <w:rsid w:val="00E22E13"/>
    <w:rsid w:val="00E4415E"/>
    <w:rsid w:val="00E84018"/>
    <w:rsid w:val="00E951B7"/>
    <w:rsid w:val="00E959FA"/>
    <w:rsid w:val="00ED3043"/>
    <w:rsid w:val="00ED7DCD"/>
    <w:rsid w:val="00F02C43"/>
    <w:rsid w:val="00F1759F"/>
    <w:rsid w:val="00F33CBA"/>
    <w:rsid w:val="00F71DF0"/>
    <w:rsid w:val="00FC0156"/>
    <w:rsid w:val="00FD425A"/>
    <w:rsid w:val="00FD43E3"/>
    <w:rsid w:val="00FD5FD4"/>
    <w:rsid w:val="00FF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A5002"/>
  <w15:chartTrackingRefBased/>
  <w15:docId w15:val="{78EE55C9-F69A-4D10-A268-01BCE1F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85C"/>
  </w:style>
  <w:style w:type="paragraph" w:styleId="Footer">
    <w:name w:val="footer"/>
    <w:basedOn w:val="Normal"/>
    <w:link w:val="FooterChar"/>
    <w:uiPriority w:val="99"/>
    <w:unhideWhenUsed/>
    <w:rsid w:val="00A64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85C"/>
  </w:style>
  <w:style w:type="character" w:styleId="Hyperlink">
    <w:name w:val="Hyperlink"/>
    <w:rsid w:val="005708D2"/>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5708D2"/>
    <w:pPr>
      <w:ind w:left="720"/>
      <w:contextualSpacing/>
    </w:pPr>
  </w:style>
  <w:style w:type="paragraph" w:styleId="FootnoteText">
    <w:name w:val="footnote text"/>
    <w:basedOn w:val="Normal"/>
    <w:link w:val="FootnoteTextChar"/>
    <w:uiPriority w:val="99"/>
    <w:semiHidden/>
    <w:unhideWhenUsed/>
    <w:rsid w:val="00570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8D2"/>
    <w:rPr>
      <w:sz w:val="20"/>
      <w:szCs w:val="20"/>
    </w:rPr>
  </w:style>
  <w:style w:type="character" w:styleId="FootnoteReference">
    <w:name w:val="footnote reference"/>
    <w:basedOn w:val="DefaultParagraphFont"/>
    <w:uiPriority w:val="99"/>
    <w:semiHidden/>
    <w:unhideWhenUsed/>
    <w:rsid w:val="005708D2"/>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5708D2"/>
  </w:style>
  <w:style w:type="character" w:styleId="UnresolvedMention">
    <w:name w:val="Unresolved Mention"/>
    <w:basedOn w:val="DefaultParagraphFont"/>
    <w:uiPriority w:val="99"/>
    <w:semiHidden/>
    <w:unhideWhenUsed/>
    <w:rsid w:val="00164E8A"/>
    <w:rPr>
      <w:color w:val="605E5C"/>
      <w:shd w:val="clear" w:color="auto" w:fill="E1DFDD"/>
    </w:rPr>
  </w:style>
  <w:style w:type="character" w:styleId="FollowedHyperlink">
    <w:name w:val="FollowedHyperlink"/>
    <w:basedOn w:val="DefaultParagraphFont"/>
    <w:uiPriority w:val="99"/>
    <w:semiHidden/>
    <w:unhideWhenUsed/>
    <w:rsid w:val="00164E8A"/>
    <w:rPr>
      <w:color w:val="954F72" w:themeColor="followedHyperlink"/>
      <w:u w:val="single"/>
    </w:rPr>
  </w:style>
  <w:style w:type="character" w:styleId="CommentReference">
    <w:name w:val="annotation reference"/>
    <w:basedOn w:val="DefaultParagraphFont"/>
    <w:uiPriority w:val="99"/>
    <w:semiHidden/>
    <w:unhideWhenUsed/>
    <w:rsid w:val="00363CBF"/>
    <w:rPr>
      <w:sz w:val="16"/>
      <w:szCs w:val="16"/>
    </w:rPr>
  </w:style>
  <w:style w:type="paragraph" w:styleId="CommentText">
    <w:name w:val="annotation text"/>
    <w:basedOn w:val="Normal"/>
    <w:link w:val="CommentTextChar"/>
    <w:uiPriority w:val="99"/>
    <w:semiHidden/>
    <w:unhideWhenUsed/>
    <w:rsid w:val="00363CBF"/>
    <w:pPr>
      <w:spacing w:line="240" w:lineRule="auto"/>
    </w:pPr>
    <w:rPr>
      <w:sz w:val="20"/>
      <w:szCs w:val="20"/>
    </w:rPr>
  </w:style>
  <w:style w:type="character" w:customStyle="1" w:styleId="CommentTextChar">
    <w:name w:val="Comment Text Char"/>
    <w:basedOn w:val="DefaultParagraphFont"/>
    <w:link w:val="CommentText"/>
    <w:uiPriority w:val="99"/>
    <w:semiHidden/>
    <w:rsid w:val="00363CBF"/>
    <w:rPr>
      <w:sz w:val="20"/>
      <w:szCs w:val="20"/>
    </w:rPr>
  </w:style>
  <w:style w:type="paragraph" w:styleId="CommentSubject">
    <w:name w:val="annotation subject"/>
    <w:basedOn w:val="CommentText"/>
    <w:next w:val="CommentText"/>
    <w:link w:val="CommentSubjectChar"/>
    <w:uiPriority w:val="99"/>
    <w:semiHidden/>
    <w:unhideWhenUsed/>
    <w:rsid w:val="00363CBF"/>
    <w:rPr>
      <w:b/>
      <w:bCs/>
    </w:rPr>
  </w:style>
  <w:style w:type="character" w:customStyle="1" w:styleId="CommentSubjectChar">
    <w:name w:val="Comment Subject Char"/>
    <w:basedOn w:val="CommentTextChar"/>
    <w:link w:val="CommentSubject"/>
    <w:uiPriority w:val="99"/>
    <w:semiHidden/>
    <w:rsid w:val="00363CBF"/>
    <w:rPr>
      <w:b/>
      <w:bCs/>
      <w:sz w:val="20"/>
      <w:szCs w:val="20"/>
    </w:rPr>
  </w:style>
  <w:style w:type="paragraph" w:styleId="BalloonText">
    <w:name w:val="Balloon Text"/>
    <w:basedOn w:val="Normal"/>
    <w:link w:val="BalloonTextChar"/>
    <w:uiPriority w:val="99"/>
    <w:semiHidden/>
    <w:unhideWhenUsed/>
    <w:rsid w:val="0036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CBF"/>
    <w:rPr>
      <w:rFonts w:ascii="Segoe UI" w:hAnsi="Segoe UI" w:cs="Segoe UI"/>
      <w:sz w:val="18"/>
      <w:szCs w:val="18"/>
    </w:rPr>
  </w:style>
  <w:style w:type="character" w:customStyle="1" w:styleId="normaltextrun">
    <w:name w:val="normaltextrun"/>
    <w:basedOn w:val="DefaultParagraphFont"/>
    <w:rsid w:val="0079666E"/>
  </w:style>
  <w:style w:type="character" w:customStyle="1" w:styleId="scxw49854845">
    <w:name w:val="scxw49854845"/>
    <w:basedOn w:val="DefaultParagraphFont"/>
    <w:rsid w:val="0079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mppsintranet.org.uk/ersd-guidance/2020/04/15/safe-operating-procedures-sop-using-ppe/" TargetMode="External"/><Relationship Id="rId18" Type="http://schemas.openxmlformats.org/officeDocument/2006/relationships/hyperlink" Target="mailto:SOCT.Procedures@justice.gov.uk" TargetMode="External"/><Relationship Id="rId26" Type="http://schemas.openxmlformats.org/officeDocument/2006/relationships/hyperlink" Target="file:///C:\Users\QVP31R\AppData\Local\Microsoft\Windows\INetCache\Content.Outlook\NS36IEF6\HMPPS-Cohorting-and-Compartmentalisation-Guidance-v5-171220.docx" TargetMode="External"/><Relationship Id="rId3" Type="http://schemas.openxmlformats.org/officeDocument/2006/relationships/styles" Target="styles.xml"/><Relationship Id="rId21" Type="http://schemas.openxmlformats.org/officeDocument/2006/relationships/hyperlink" Target="https://intranet.noms.gsi.gov.uk/policies-and-subjects/prisons/visits-and-movement/psi-2011-0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mppsintranet.org.uk/ersd-guidance/2020/04/15/safe-operating-procedures-sop-using-ppe/" TargetMode="External"/><Relationship Id="rId17" Type="http://schemas.openxmlformats.org/officeDocument/2006/relationships/hyperlink" Target="file:///C:\Users\QVP31R\AppData\Local\Microsoft\Windows\INetCache\Content.Outlook\NS36IEF6\HMPPS-Contact-Tracing-V6-FINAL.docx" TargetMode="External"/><Relationship Id="rId25" Type="http://schemas.openxmlformats.org/officeDocument/2006/relationships/hyperlink" Target="file:///C:\Users\QVP31R\AppData\Local\Microsoft\Windows\INetCache\Content.Outlook\NS36IEF6\9.SOP-V6.2-Operational-Tasks-Covid-19%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QVP31R\AppData\Local\Microsoft\Windows\INetCache\Content.Outlook\NS36IEF6\HMPPS-Cohorting-and-Compartmentalisation-Guidance-v5-171220.docx" TargetMode="External"/><Relationship Id="rId20" Type="http://schemas.openxmlformats.org/officeDocument/2006/relationships/hyperlink" Target="https://intranet.noms.gsi.gov.uk/policies-and-subjects/prisons/national-security-framework/external-movement/psi-2015-3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noms.gsi.gov.uk/policies-and-subjects/prisons/national-security-framework/external-movement/psi-2015-33" TargetMode="External"/><Relationship Id="rId24" Type="http://schemas.openxmlformats.org/officeDocument/2006/relationships/hyperlink" Target="file:///C:\Users\QVP31R\AppData\Local\Microsoft\Windows\INetCache\Content.Outlook\NS36IEF6\6.SOP-V6.2-Escorts-and-Bedwatches%20(2).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gob79o\Documents\IPad%20Briefing%20v1.6.docx" TargetMode="External"/><Relationship Id="rId23" Type="http://schemas.openxmlformats.org/officeDocument/2006/relationships/hyperlink" Target="file:///C:\Users\QVP31R\AppData\Local\Microsoft\Windows\INetCache\Content.Outlook\NS36IEF6\Briefing-escorts-bedwatches-for-staff-Final%20(1).docx" TargetMode="External"/><Relationship Id="rId28" Type="http://schemas.openxmlformats.org/officeDocument/2006/relationships/hyperlink" Target="https://www.gov.uk/government/publications/covid-19-response-spring-2021/covid-19-response-spring-2021" TargetMode="External"/><Relationship Id="rId10" Type="http://schemas.openxmlformats.org/officeDocument/2006/relationships/hyperlink" Target="https://intranet.noms.gsi.gov.uk/policies-and-subjects/prisons/national-security-framework/external-movement/psi-2015-33" TargetMode="External"/><Relationship Id="rId19" Type="http://schemas.openxmlformats.org/officeDocument/2006/relationships/hyperlink" Target="mailto:HMPPSCOVID19@justice.gov.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mppsintranet.org.uk/ersd-guidance/2020/04/15/hdc-and-rotl/" TargetMode="External"/><Relationship Id="rId14" Type="http://schemas.openxmlformats.org/officeDocument/2006/relationships/hyperlink" Target="file:///C:\Users\QVP31R\AppData\Local\Microsoft\Windows\INetCache\Content.Outlook\NS36IEF6\COVID-19-External-Escorts-and-Bedwatches-guidance-v.5.1%20(5).docx" TargetMode="External"/><Relationship Id="rId22" Type="http://schemas.openxmlformats.org/officeDocument/2006/relationships/hyperlink" Target="file:///C:\Users\QVP31R\AppData\Local\Microsoft\Windows\INetCache\Content.Outlook\NS36IEF6\COVID-19-External-Escorts-and-Bedwatches-guidance-v.5.1%20(5).docx" TargetMode="External"/><Relationship Id="rId27" Type="http://schemas.openxmlformats.org/officeDocument/2006/relationships/hyperlink" Target="file:///C:\Users\gob79o\Documents\IPad%20Briefing%20v1.6.docx"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D22-4D61-4DA7-99C9-97BF7FA6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Julia</dc:creator>
  <cp:keywords/>
  <dc:description/>
  <cp:lastModifiedBy>Whyte, Julia</cp:lastModifiedBy>
  <cp:revision>12</cp:revision>
  <dcterms:created xsi:type="dcterms:W3CDTF">2021-06-08T10:14:00Z</dcterms:created>
  <dcterms:modified xsi:type="dcterms:W3CDTF">2021-07-26T12:23:00Z</dcterms:modified>
</cp:coreProperties>
</file>