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99EA" w14:textId="77777777" w:rsidR="007D6175" w:rsidRPr="007D6175" w:rsidRDefault="007D6175" w:rsidP="007D6175">
      <w:pPr>
        <w:pStyle w:val="s3"/>
        <w:jc w:val="both"/>
        <w:rPr>
          <w:rFonts w:asciiTheme="minorHAnsi" w:hAnsiTheme="minorHAnsi"/>
        </w:rPr>
      </w:pPr>
      <w:bookmarkStart w:id="0" w:name="_GoBack"/>
      <w:bookmarkEnd w:id="0"/>
      <w:r w:rsidRPr="007D6175">
        <w:rPr>
          <w:rStyle w:val="s2"/>
          <w:rFonts w:asciiTheme="minorHAnsi" w:hAnsiTheme="minorHAnsi"/>
          <w:b/>
          <w:bCs/>
          <w:u w:val="single"/>
        </w:rPr>
        <w:t>FURTHER GUIDANCE TO SUPPORT CONSULTATION WITH THE NTUS UNION GROUP (PCS/PROSPECT/FDA/UNITE/GMB) ON STAGE 2 PROGRESSION</w:t>
      </w:r>
    </w:p>
    <w:p w14:paraId="64145656" w14:textId="77777777" w:rsidR="007D6175" w:rsidRPr="007D6175" w:rsidRDefault="007D6175" w:rsidP="007D6175">
      <w:pPr>
        <w:pStyle w:val="s4"/>
        <w:jc w:val="both"/>
        <w:rPr>
          <w:rFonts w:asciiTheme="minorHAnsi" w:hAnsiTheme="minorHAnsi"/>
        </w:rPr>
      </w:pPr>
      <w:r w:rsidRPr="007D6175">
        <w:rPr>
          <w:rStyle w:val="s5"/>
          <w:rFonts w:asciiTheme="minorHAnsi" w:hAnsiTheme="minorHAnsi"/>
        </w:rPr>
        <w:t>NTUS (PCS, PROSPECT, FDA, UNITE, GMB) local consultation and engagement on your local recovery plans and level 2 readiness assessments must be completed prior to sending these to the PDG.</w:t>
      </w:r>
    </w:p>
    <w:p w14:paraId="7B410126" w14:textId="77777777" w:rsidR="007D6175" w:rsidRDefault="007D6175" w:rsidP="007D6175">
      <w:pPr>
        <w:pStyle w:val="s6"/>
        <w:jc w:val="both"/>
        <w:rPr>
          <w:rStyle w:val="s7"/>
          <w:rFonts w:asciiTheme="minorHAnsi" w:hAnsiTheme="minorHAnsi"/>
          <w:b/>
          <w:bCs/>
          <w:u w:val="single"/>
        </w:rPr>
      </w:pPr>
      <w:r w:rsidRPr="007D6175">
        <w:rPr>
          <w:rFonts w:asciiTheme="minorHAnsi" w:hAnsiTheme="minorHAnsi"/>
        </w:rPr>
        <w:t> </w:t>
      </w:r>
      <w:r>
        <w:rPr>
          <w:rStyle w:val="s7"/>
          <w:rFonts w:asciiTheme="minorHAnsi" w:hAnsiTheme="minorHAnsi"/>
          <w:b/>
          <w:bCs/>
          <w:u w:val="single"/>
        </w:rPr>
        <w:t>Evidence of consultation</w:t>
      </w:r>
    </w:p>
    <w:p w14:paraId="07D5FBD4" w14:textId="77777777" w:rsidR="007D6175" w:rsidRPr="007D6175" w:rsidRDefault="007D6175" w:rsidP="007D6175">
      <w:pPr>
        <w:pStyle w:val="s10"/>
        <w:ind w:right="345"/>
        <w:jc w:val="both"/>
        <w:rPr>
          <w:rFonts w:asciiTheme="minorHAnsi" w:hAnsiTheme="minorHAnsi"/>
        </w:rPr>
      </w:pPr>
      <w:r w:rsidRPr="007D6175">
        <w:rPr>
          <w:rStyle w:val="s9"/>
          <w:rFonts w:asciiTheme="minorHAnsi" w:hAnsiTheme="minorHAnsi"/>
          <w:iCs/>
        </w:rPr>
        <w:t>Evidence of consultation is a requirement for progression to stage 2 and is included in the of the readiness assessment checklist that must be completed by the establishment. Evidence will be in the form of:</w:t>
      </w:r>
    </w:p>
    <w:p w14:paraId="372AB295" w14:textId="77777777" w:rsidR="007D6175" w:rsidRPr="007D6175" w:rsidRDefault="007D6175" w:rsidP="007D6175">
      <w:pPr>
        <w:pStyle w:val="ListParagraph"/>
        <w:numPr>
          <w:ilvl w:val="0"/>
          <w:numId w:val="3"/>
        </w:numPr>
        <w:spacing w:before="100" w:beforeAutospacing="1" w:after="100" w:afterAutospacing="1"/>
        <w:ind w:left="709"/>
        <w:jc w:val="both"/>
        <w:rPr>
          <w:rFonts w:asciiTheme="minorHAnsi" w:eastAsia="Times New Roman" w:hAnsiTheme="minorHAnsi"/>
        </w:rPr>
      </w:pPr>
      <w:r w:rsidRPr="007D6175">
        <w:rPr>
          <w:rStyle w:val="s12"/>
          <w:rFonts w:asciiTheme="minorHAnsi" w:eastAsia="Times New Roman" w:hAnsiTheme="minorHAnsi"/>
        </w:rPr>
        <w:t>the email inviting to consult, </w:t>
      </w:r>
    </w:p>
    <w:p w14:paraId="7C11CB4D" w14:textId="77777777" w:rsidR="007D6175" w:rsidRPr="007D6175" w:rsidRDefault="007D6175" w:rsidP="007D6175">
      <w:pPr>
        <w:pStyle w:val="ListParagraph"/>
        <w:numPr>
          <w:ilvl w:val="0"/>
          <w:numId w:val="3"/>
        </w:numPr>
        <w:spacing w:before="100" w:beforeAutospacing="1" w:after="100" w:afterAutospacing="1"/>
        <w:ind w:left="709"/>
        <w:jc w:val="both"/>
        <w:rPr>
          <w:rFonts w:asciiTheme="minorHAnsi" w:eastAsia="Times New Roman" w:hAnsiTheme="minorHAnsi"/>
        </w:rPr>
      </w:pPr>
      <w:r w:rsidRPr="007D6175">
        <w:rPr>
          <w:rStyle w:val="s12"/>
          <w:rFonts w:asciiTheme="minorHAnsi" w:eastAsia="Times New Roman" w:hAnsiTheme="minorHAnsi"/>
        </w:rPr>
        <w:t>the email from the responding union </w:t>
      </w:r>
    </w:p>
    <w:p w14:paraId="51B14C9F" w14:textId="77777777" w:rsidR="007D6175" w:rsidRPr="007D6175" w:rsidRDefault="007D6175" w:rsidP="007D6175">
      <w:pPr>
        <w:pStyle w:val="ListParagraph"/>
        <w:numPr>
          <w:ilvl w:val="0"/>
          <w:numId w:val="3"/>
        </w:numPr>
        <w:spacing w:before="100" w:beforeAutospacing="1" w:after="100" w:afterAutospacing="1"/>
        <w:ind w:left="709"/>
        <w:jc w:val="both"/>
        <w:rPr>
          <w:rFonts w:asciiTheme="minorHAnsi" w:eastAsia="Times New Roman" w:hAnsiTheme="minorHAnsi"/>
        </w:rPr>
      </w:pPr>
      <w:r w:rsidRPr="007D6175">
        <w:rPr>
          <w:rStyle w:val="s12"/>
          <w:rFonts w:asciiTheme="minorHAnsi" w:eastAsia="Times New Roman" w:hAnsiTheme="minorHAnsi"/>
        </w:rPr>
        <w:t>any email reminding unions to respond. </w:t>
      </w:r>
    </w:p>
    <w:p w14:paraId="19D54F26" w14:textId="77777777" w:rsidR="007D6175" w:rsidRDefault="007D6175" w:rsidP="007D6175">
      <w:pPr>
        <w:pStyle w:val="s6"/>
        <w:jc w:val="both"/>
        <w:rPr>
          <w:rFonts w:asciiTheme="minorHAnsi" w:hAnsiTheme="minorHAnsi"/>
        </w:rPr>
      </w:pPr>
      <w:r w:rsidRPr="007D6175">
        <w:rPr>
          <w:rStyle w:val="s14"/>
          <w:rFonts w:asciiTheme="minorHAnsi" w:hAnsiTheme="minorHAnsi"/>
          <w:b/>
          <w:bCs/>
          <w:u w:val="single"/>
        </w:rPr>
        <w:t>Who to consult with?</w:t>
      </w:r>
    </w:p>
    <w:p w14:paraId="274A210D" w14:textId="77777777" w:rsidR="007D6175" w:rsidRPr="007D6175" w:rsidRDefault="007D6175" w:rsidP="007D6175">
      <w:pPr>
        <w:pStyle w:val="s17"/>
        <w:ind w:right="345"/>
        <w:jc w:val="both"/>
        <w:rPr>
          <w:rFonts w:asciiTheme="minorHAnsi" w:hAnsiTheme="minorHAnsi"/>
        </w:rPr>
      </w:pPr>
      <w:r w:rsidRPr="007D6175">
        <w:rPr>
          <w:rStyle w:val="s15"/>
          <w:rFonts w:asciiTheme="minorHAnsi" w:hAnsiTheme="minorHAnsi"/>
        </w:rPr>
        <w:t>Establishments should, by default, consult with a local rep where there is one in place.  Where NTUS unions have no local representation, national colleagues listed below will require sight of your local plans and require a reasonable timescale to comment on them before readiness assessments are submitted to the PDG. NTUS Unions have an agreed </w:t>
      </w:r>
      <w:r w:rsidRPr="007D6175">
        <w:rPr>
          <w:rStyle w:val="s16"/>
          <w:rFonts w:asciiTheme="minorHAnsi" w:hAnsiTheme="minorHAnsi"/>
          <w:b/>
          <w:bCs/>
        </w:rPr>
        <w:t>minimum of five working days</w:t>
      </w:r>
      <w:r w:rsidRPr="007D6175">
        <w:rPr>
          <w:rStyle w:val="s15"/>
          <w:rFonts w:asciiTheme="minorHAnsi" w:hAnsiTheme="minorHAnsi"/>
        </w:rPr>
        <w:t> to respond.</w:t>
      </w:r>
    </w:p>
    <w:p w14:paraId="61E2A4B2" w14:textId="77777777" w:rsidR="007D6175" w:rsidRPr="007D6175" w:rsidRDefault="007D6175" w:rsidP="007D6175">
      <w:pPr>
        <w:pStyle w:val="ListParagraph"/>
        <w:numPr>
          <w:ilvl w:val="0"/>
          <w:numId w:val="2"/>
        </w:numPr>
        <w:spacing w:before="100" w:beforeAutospacing="1" w:after="100" w:afterAutospacing="1"/>
        <w:ind w:left="709"/>
        <w:jc w:val="both"/>
        <w:rPr>
          <w:rFonts w:asciiTheme="minorHAnsi" w:eastAsia="Times New Roman" w:hAnsiTheme="minorHAnsi"/>
        </w:rPr>
      </w:pPr>
      <w:r w:rsidRPr="007D6175">
        <w:rPr>
          <w:rStyle w:val="s19"/>
          <w:rFonts w:asciiTheme="minorHAnsi" w:eastAsia="Times New Roman" w:hAnsiTheme="minorHAnsi"/>
          <w:b/>
          <w:bCs/>
        </w:rPr>
        <w:t>PCS:</w:t>
      </w:r>
      <w:r w:rsidRPr="007D6175">
        <w:rPr>
          <w:rStyle w:val="s5"/>
          <w:rFonts w:asciiTheme="minorHAnsi" w:eastAsia="Times New Roman" w:hAnsiTheme="minorHAnsi"/>
        </w:rPr>
        <w:t> </w:t>
      </w:r>
      <w:r>
        <w:rPr>
          <w:rStyle w:val="s5"/>
          <w:rFonts w:asciiTheme="minorHAnsi" w:eastAsia="Times New Roman" w:hAnsiTheme="minorHAnsi"/>
        </w:rPr>
        <w:tab/>
      </w:r>
      <w:r>
        <w:rPr>
          <w:rStyle w:val="s5"/>
          <w:rFonts w:asciiTheme="minorHAnsi" w:eastAsia="Times New Roman" w:hAnsiTheme="minorHAnsi"/>
        </w:rPr>
        <w:tab/>
      </w:r>
      <w:hyperlink r:id="rId10" w:history="1">
        <w:r w:rsidRPr="007D6175">
          <w:rPr>
            <w:rStyle w:val="s20"/>
            <w:rFonts w:asciiTheme="minorHAnsi" w:eastAsia="Times New Roman" w:hAnsiTheme="minorHAnsi"/>
            <w:color w:val="0563C1"/>
            <w:u w:val="single"/>
          </w:rPr>
          <w:t>Nigel.Wharrier@justice.gov.uk</w:t>
        </w:r>
      </w:hyperlink>
    </w:p>
    <w:p w14:paraId="4ED52A9D" w14:textId="77777777" w:rsidR="007D6175" w:rsidRPr="007D6175" w:rsidRDefault="007D6175" w:rsidP="007D6175">
      <w:pPr>
        <w:pStyle w:val="ListParagraph"/>
        <w:numPr>
          <w:ilvl w:val="0"/>
          <w:numId w:val="2"/>
        </w:numPr>
        <w:spacing w:before="100" w:beforeAutospacing="1" w:after="100" w:afterAutospacing="1"/>
        <w:ind w:left="709"/>
        <w:jc w:val="both"/>
        <w:rPr>
          <w:rStyle w:val="s5"/>
          <w:rFonts w:asciiTheme="minorHAnsi" w:hAnsiTheme="minorHAnsi"/>
        </w:rPr>
      </w:pPr>
      <w:r w:rsidRPr="007D6175">
        <w:rPr>
          <w:rStyle w:val="s19"/>
          <w:rFonts w:asciiTheme="minorHAnsi" w:eastAsia="Times New Roman" w:hAnsiTheme="minorHAnsi"/>
          <w:b/>
          <w:bCs/>
        </w:rPr>
        <w:t>PROSPECT:</w:t>
      </w:r>
      <w:r w:rsidRPr="007D6175">
        <w:rPr>
          <w:rStyle w:val="s5"/>
          <w:rFonts w:asciiTheme="minorHAnsi" w:eastAsia="Times New Roman" w:hAnsiTheme="minorHAnsi"/>
        </w:rPr>
        <w:t> </w:t>
      </w:r>
      <w:r>
        <w:rPr>
          <w:rStyle w:val="s5"/>
          <w:rFonts w:asciiTheme="minorHAnsi" w:eastAsia="Times New Roman" w:hAnsiTheme="minorHAnsi"/>
        </w:rPr>
        <w:tab/>
      </w:r>
      <w:hyperlink r:id="rId11" w:history="1">
        <w:r w:rsidRPr="007D6175">
          <w:rPr>
            <w:rStyle w:val="Hyperlink"/>
            <w:rFonts w:asciiTheme="minorHAnsi" w:eastAsia="Times New Roman" w:hAnsiTheme="minorHAnsi"/>
          </w:rPr>
          <w:t>Trevor.Jacquet@justice.gov.uk</w:t>
        </w:r>
      </w:hyperlink>
    </w:p>
    <w:p w14:paraId="62D09CBA" w14:textId="77777777" w:rsidR="007D6175" w:rsidRPr="007D6175" w:rsidRDefault="007D6175" w:rsidP="007D6175">
      <w:pPr>
        <w:pStyle w:val="ListParagraph"/>
        <w:numPr>
          <w:ilvl w:val="0"/>
          <w:numId w:val="2"/>
        </w:numPr>
        <w:spacing w:before="100" w:beforeAutospacing="1" w:after="100" w:afterAutospacing="1"/>
        <w:ind w:left="709"/>
        <w:jc w:val="both"/>
        <w:rPr>
          <w:rStyle w:val="s5"/>
          <w:rFonts w:asciiTheme="minorHAnsi" w:eastAsia="Times New Roman" w:hAnsiTheme="minorHAnsi"/>
        </w:rPr>
      </w:pPr>
      <w:r w:rsidRPr="007D6175">
        <w:rPr>
          <w:rStyle w:val="s19"/>
          <w:rFonts w:asciiTheme="minorHAnsi" w:eastAsia="Times New Roman" w:hAnsiTheme="minorHAnsi"/>
          <w:b/>
          <w:bCs/>
        </w:rPr>
        <w:t>GMB:</w:t>
      </w:r>
      <w:r w:rsidRPr="007D6175">
        <w:rPr>
          <w:rStyle w:val="s5"/>
          <w:rFonts w:asciiTheme="minorHAnsi" w:eastAsia="Times New Roman" w:hAnsiTheme="minorHAnsi"/>
        </w:rPr>
        <w:t> </w:t>
      </w:r>
      <w:r>
        <w:rPr>
          <w:rStyle w:val="s5"/>
          <w:rFonts w:asciiTheme="minorHAnsi" w:eastAsia="Times New Roman" w:hAnsiTheme="minorHAnsi"/>
        </w:rPr>
        <w:tab/>
      </w:r>
      <w:r>
        <w:rPr>
          <w:rStyle w:val="s5"/>
          <w:rFonts w:asciiTheme="minorHAnsi" w:eastAsia="Times New Roman" w:hAnsiTheme="minorHAnsi"/>
        </w:rPr>
        <w:tab/>
      </w:r>
      <w:hyperlink r:id="rId12" w:history="1">
        <w:r w:rsidRPr="007D6175">
          <w:rPr>
            <w:rStyle w:val="s20"/>
            <w:rFonts w:asciiTheme="minorHAnsi" w:eastAsia="Times New Roman" w:hAnsiTheme="minorHAnsi"/>
            <w:color w:val="0563C1"/>
            <w:u w:val="single"/>
          </w:rPr>
          <w:t>Kevin.Brandstatter@gmb.org.uk</w:t>
        </w:r>
      </w:hyperlink>
    </w:p>
    <w:p w14:paraId="781987A6" w14:textId="77777777" w:rsidR="007D6175" w:rsidRPr="007D6175" w:rsidRDefault="007D6175" w:rsidP="007D6175">
      <w:pPr>
        <w:pStyle w:val="ListParagraph"/>
        <w:numPr>
          <w:ilvl w:val="0"/>
          <w:numId w:val="2"/>
        </w:numPr>
        <w:spacing w:before="100" w:beforeAutospacing="1" w:after="100" w:afterAutospacing="1"/>
        <w:ind w:left="709"/>
        <w:jc w:val="both"/>
        <w:rPr>
          <w:rStyle w:val="s5"/>
          <w:rFonts w:asciiTheme="minorHAnsi" w:eastAsia="Times New Roman" w:hAnsiTheme="minorHAnsi"/>
        </w:rPr>
      </w:pPr>
      <w:r w:rsidRPr="007D6175">
        <w:rPr>
          <w:rStyle w:val="s19"/>
          <w:rFonts w:asciiTheme="minorHAnsi" w:eastAsia="Times New Roman" w:hAnsiTheme="minorHAnsi"/>
          <w:b/>
          <w:bCs/>
        </w:rPr>
        <w:t>UNITE:</w:t>
      </w:r>
      <w:r>
        <w:rPr>
          <w:rStyle w:val="s19"/>
          <w:rFonts w:asciiTheme="minorHAnsi" w:eastAsia="Times New Roman" w:hAnsiTheme="minorHAnsi"/>
          <w:b/>
          <w:bCs/>
        </w:rPr>
        <w:tab/>
      </w:r>
      <w:r>
        <w:rPr>
          <w:rStyle w:val="s19"/>
          <w:rFonts w:asciiTheme="minorHAnsi" w:eastAsia="Times New Roman" w:hAnsiTheme="minorHAnsi"/>
          <w:b/>
          <w:bCs/>
        </w:rPr>
        <w:tab/>
      </w:r>
      <w:hyperlink r:id="rId13" w:history="1">
        <w:r w:rsidRPr="007D6175">
          <w:rPr>
            <w:rStyle w:val="s20"/>
            <w:rFonts w:asciiTheme="minorHAnsi" w:eastAsia="Times New Roman" w:hAnsiTheme="minorHAnsi"/>
            <w:color w:val="0563C1"/>
            <w:u w:val="single"/>
          </w:rPr>
          <w:t>caren.evans@unitetheunion.org</w:t>
        </w:r>
      </w:hyperlink>
    </w:p>
    <w:p w14:paraId="0675E3B8" w14:textId="77777777" w:rsidR="007D6175" w:rsidRPr="007D6175" w:rsidRDefault="007D6175" w:rsidP="007D6175">
      <w:pPr>
        <w:pStyle w:val="ListParagraph"/>
        <w:numPr>
          <w:ilvl w:val="0"/>
          <w:numId w:val="2"/>
        </w:numPr>
        <w:spacing w:before="100" w:beforeAutospacing="1" w:after="100" w:afterAutospacing="1"/>
        <w:ind w:left="709"/>
        <w:jc w:val="both"/>
        <w:rPr>
          <w:rStyle w:val="s5"/>
          <w:rFonts w:asciiTheme="minorHAnsi" w:eastAsia="Times New Roman" w:hAnsiTheme="minorHAnsi"/>
        </w:rPr>
      </w:pPr>
      <w:r w:rsidRPr="007D6175">
        <w:rPr>
          <w:rStyle w:val="s19"/>
          <w:rFonts w:asciiTheme="minorHAnsi" w:eastAsia="Times New Roman" w:hAnsiTheme="minorHAnsi"/>
          <w:b/>
          <w:bCs/>
        </w:rPr>
        <w:t>FDA:</w:t>
      </w:r>
      <w:r w:rsidRPr="007D6175">
        <w:rPr>
          <w:rStyle w:val="s5"/>
          <w:rFonts w:asciiTheme="minorHAnsi" w:eastAsia="Times New Roman" w:hAnsiTheme="minorHAnsi"/>
        </w:rPr>
        <w:t> </w:t>
      </w:r>
      <w:r>
        <w:rPr>
          <w:rStyle w:val="s5"/>
          <w:rFonts w:asciiTheme="minorHAnsi" w:eastAsia="Times New Roman" w:hAnsiTheme="minorHAnsi"/>
        </w:rPr>
        <w:tab/>
      </w:r>
      <w:r>
        <w:rPr>
          <w:rStyle w:val="s5"/>
          <w:rFonts w:asciiTheme="minorHAnsi" w:eastAsia="Times New Roman" w:hAnsiTheme="minorHAnsi"/>
        </w:rPr>
        <w:tab/>
      </w:r>
      <w:hyperlink r:id="rId14" w:history="1">
        <w:r w:rsidRPr="007D6175">
          <w:rPr>
            <w:rStyle w:val="s20"/>
            <w:rFonts w:asciiTheme="minorHAnsi" w:eastAsia="Times New Roman" w:hAnsiTheme="minorHAnsi"/>
            <w:color w:val="0563C1"/>
            <w:u w:val="single"/>
          </w:rPr>
          <w:t>niall.mccormick@justice.gov.uk</w:t>
        </w:r>
      </w:hyperlink>
    </w:p>
    <w:p w14:paraId="73ADB96C" w14:textId="77777777" w:rsidR="007D6175" w:rsidRPr="007D6175" w:rsidRDefault="007D6175" w:rsidP="007D6175">
      <w:pPr>
        <w:pStyle w:val="s6"/>
        <w:jc w:val="both"/>
        <w:rPr>
          <w:rStyle w:val="s5"/>
          <w:rFonts w:asciiTheme="minorHAnsi" w:hAnsiTheme="minorHAnsi"/>
        </w:rPr>
      </w:pPr>
      <w:r w:rsidRPr="007D6175">
        <w:rPr>
          <w:rStyle w:val="s5"/>
          <w:rFonts w:asciiTheme="minorHAnsi" w:hAnsiTheme="minorHAnsi"/>
        </w:rPr>
        <w:t> </w:t>
      </w:r>
      <w:r w:rsidRPr="007D6175">
        <w:rPr>
          <w:rStyle w:val="s9"/>
          <w:rFonts w:asciiTheme="minorHAnsi" w:hAnsiTheme="minorHAnsi"/>
          <w:i/>
          <w:iCs/>
        </w:rPr>
        <w:t>Whenever possible FDA, Unite and GMB on receipt of a request for National consultation will respond immediately with a holding email along the lines of “</w:t>
      </w:r>
      <w:r w:rsidRPr="007D6175">
        <w:rPr>
          <w:rStyle w:val="s23"/>
          <w:rFonts w:asciiTheme="minorHAnsi" w:hAnsiTheme="minorHAnsi"/>
          <w:b/>
          <w:bCs/>
          <w:i/>
          <w:iCs/>
        </w:rPr>
        <w:t>thank you for your email, it is our intention to reply within 5 days, should you not receive a response please assume we are content.</w:t>
      </w:r>
      <w:r w:rsidRPr="007D6175">
        <w:rPr>
          <w:rStyle w:val="s9"/>
          <w:rFonts w:asciiTheme="minorHAnsi" w:hAnsiTheme="minorHAnsi"/>
          <w:i/>
          <w:iCs/>
        </w:rPr>
        <w:t>”</w:t>
      </w:r>
    </w:p>
    <w:p w14:paraId="6AAF4B2F" w14:textId="77777777" w:rsidR="007D6175" w:rsidRPr="007D6175" w:rsidRDefault="007D6175" w:rsidP="007D6175">
      <w:pPr>
        <w:pStyle w:val="s24"/>
        <w:ind w:right="345"/>
        <w:jc w:val="both"/>
        <w:rPr>
          <w:rStyle w:val="s5"/>
          <w:rFonts w:asciiTheme="minorHAnsi" w:hAnsiTheme="minorHAnsi"/>
          <w:b/>
          <w:i/>
        </w:rPr>
      </w:pPr>
      <w:r w:rsidRPr="007D6175">
        <w:rPr>
          <w:rStyle w:val="s15"/>
          <w:rFonts w:asciiTheme="minorHAnsi" w:hAnsiTheme="minorHAnsi"/>
          <w:b/>
          <w:i/>
        </w:rPr>
        <w:t>In the event of no response from an NTUS union:</w:t>
      </w:r>
    </w:p>
    <w:p w14:paraId="61E43A17"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2"/>
          <w:rFonts w:asciiTheme="minorHAnsi" w:eastAsia="Times New Roman" w:hAnsiTheme="minorHAnsi"/>
        </w:rPr>
        <w:t>An e-mail reminder must be sent to unions who have not responded.</w:t>
      </w:r>
    </w:p>
    <w:p w14:paraId="0B957367"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5"/>
          <w:rFonts w:asciiTheme="minorHAnsi" w:eastAsia="Times New Roman" w:hAnsiTheme="minorHAnsi"/>
        </w:rPr>
        <w:t>NTUS will check the request against a list of EDMs, LOPs, SOPs provided by the relevant Unions that are of interest/ applicable to their membership. </w:t>
      </w:r>
    </w:p>
    <w:p w14:paraId="7F78F13C"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5"/>
          <w:rFonts w:asciiTheme="minorHAnsi" w:eastAsia="Times New Roman" w:hAnsiTheme="minorHAnsi"/>
        </w:rPr>
        <w:t>If there is no response after 5 working days have elapsed prisons can assume that there are no further points to raise. </w:t>
      </w:r>
    </w:p>
    <w:p w14:paraId="5DCB7B30" w14:textId="77777777" w:rsidR="007D6175" w:rsidRPr="007D6175" w:rsidRDefault="007D6175" w:rsidP="007D6175">
      <w:pPr>
        <w:pStyle w:val="s6"/>
        <w:jc w:val="both"/>
        <w:rPr>
          <w:rStyle w:val="s5"/>
          <w:rFonts w:asciiTheme="minorHAnsi" w:hAnsiTheme="minorHAnsi"/>
        </w:rPr>
      </w:pPr>
      <w:r w:rsidRPr="007D6175">
        <w:rPr>
          <w:rStyle w:val="s5"/>
          <w:rFonts w:asciiTheme="minorHAnsi" w:hAnsiTheme="minorHAnsi"/>
        </w:rPr>
        <w:t>As a reminder, NTUS trade unions represent members from a range roles and grades, including: </w:t>
      </w:r>
    </w:p>
    <w:p w14:paraId="6241CBF5"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9"/>
          <w:rFonts w:asciiTheme="minorHAnsi" w:eastAsia="Times New Roman" w:hAnsiTheme="minorHAnsi"/>
          <w:b/>
          <w:bCs/>
        </w:rPr>
        <w:t>PCS:</w:t>
      </w:r>
      <w:r w:rsidRPr="007D6175">
        <w:rPr>
          <w:rStyle w:val="s5"/>
          <w:rFonts w:asciiTheme="minorHAnsi" w:eastAsia="Times New Roman" w:hAnsiTheme="minorHAnsi"/>
        </w:rPr>
        <w:t> covering Prison Instructors (PIs), SPIs and Band 2 Caterers, administrative grades, non-op bands 4 to 11; Op Bands 7-11 </w:t>
      </w:r>
    </w:p>
    <w:p w14:paraId="113A68F2"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9"/>
          <w:rFonts w:asciiTheme="minorHAnsi" w:eastAsia="Times New Roman" w:hAnsiTheme="minorHAnsi"/>
          <w:b/>
          <w:bCs/>
        </w:rPr>
        <w:lastRenderedPageBreak/>
        <w:t>PROSPECT:</w:t>
      </w:r>
      <w:r w:rsidRPr="007D6175">
        <w:rPr>
          <w:rStyle w:val="s5"/>
          <w:rFonts w:asciiTheme="minorHAnsi" w:eastAsia="Times New Roman" w:hAnsiTheme="minorHAnsi"/>
        </w:rPr>
        <w:t> covering Industrial Managers, Catering Managers, Programmes Facilitators and Psychologists and Chaplains, non-op Bands 4-11 </w:t>
      </w:r>
    </w:p>
    <w:p w14:paraId="08D8D7D2"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9"/>
          <w:rFonts w:asciiTheme="minorHAnsi" w:eastAsia="Times New Roman" w:hAnsiTheme="minorHAnsi"/>
          <w:b/>
          <w:bCs/>
        </w:rPr>
        <w:t>GMB:</w:t>
      </w:r>
      <w:r w:rsidRPr="007D6175">
        <w:rPr>
          <w:rStyle w:val="s5"/>
          <w:rFonts w:asciiTheme="minorHAnsi" w:eastAsia="Times New Roman" w:hAnsiTheme="minorHAnsi"/>
        </w:rPr>
        <w:t> covering civilian caterers, B2 grade in Waste Management </w:t>
      </w:r>
    </w:p>
    <w:p w14:paraId="01DC46D8"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9"/>
          <w:rFonts w:asciiTheme="minorHAnsi" w:eastAsia="Times New Roman" w:hAnsiTheme="minorHAnsi"/>
          <w:b/>
          <w:bCs/>
        </w:rPr>
        <w:t>UNITE:</w:t>
      </w:r>
      <w:r w:rsidRPr="007D6175">
        <w:rPr>
          <w:rStyle w:val="s5"/>
          <w:rFonts w:asciiTheme="minorHAnsi" w:eastAsia="Times New Roman" w:hAnsiTheme="minorHAnsi"/>
        </w:rPr>
        <w:t> covering civilian caterers, catering managers, B2 grade in Waste Management </w:t>
      </w:r>
    </w:p>
    <w:p w14:paraId="7A967EBE" w14:textId="77777777" w:rsidR="007D6175" w:rsidRPr="007D6175" w:rsidRDefault="007D6175" w:rsidP="007D6175">
      <w:pPr>
        <w:pStyle w:val="ListParagraph"/>
        <w:numPr>
          <w:ilvl w:val="0"/>
          <w:numId w:val="2"/>
        </w:numPr>
        <w:spacing w:before="120" w:after="120"/>
        <w:ind w:left="782" w:hanging="357"/>
        <w:jc w:val="both"/>
        <w:rPr>
          <w:rStyle w:val="s5"/>
          <w:rFonts w:asciiTheme="minorHAnsi" w:eastAsia="Times New Roman" w:hAnsiTheme="minorHAnsi"/>
        </w:rPr>
      </w:pPr>
      <w:r w:rsidRPr="007D6175">
        <w:rPr>
          <w:rStyle w:val="s19"/>
          <w:rFonts w:asciiTheme="minorHAnsi" w:eastAsia="Times New Roman" w:hAnsiTheme="minorHAnsi"/>
          <w:b/>
          <w:bCs/>
        </w:rPr>
        <w:t>FDA:</w:t>
      </w:r>
      <w:r w:rsidRPr="007D6175">
        <w:rPr>
          <w:rStyle w:val="s5"/>
          <w:rFonts w:asciiTheme="minorHAnsi" w:eastAsia="Times New Roman" w:hAnsiTheme="minorHAnsi"/>
        </w:rPr>
        <w:t> covering senior non-operational management grades band 9 and above </w:t>
      </w:r>
    </w:p>
    <w:p w14:paraId="7A893AA7" w14:textId="77777777" w:rsidR="007D6175" w:rsidRPr="007D6175" w:rsidRDefault="007D6175" w:rsidP="007D6175">
      <w:pPr>
        <w:pStyle w:val="s30"/>
        <w:jc w:val="both"/>
        <w:rPr>
          <w:rStyle w:val="s5"/>
          <w:rFonts w:asciiTheme="minorHAnsi" w:hAnsiTheme="minorHAnsi"/>
        </w:rPr>
      </w:pPr>
      <w:r w:rsidRPr="007D6175">
        <w:rPr>
          <w:rStyle w:val="s5"/>
          <w:rFonts w:asciiTheme="minorHAnsi" w:hAnsiTheme="minorHAnsi"/>
        </w:rPr>
        <w:t> </w:t>
      </w:r>
      <w:r w:rsidRPr="007D6175">
        <w:rPr>
          <w:rStyle w:val="s2"/>
          <w:rFonts w:asciiTheme="minorHAnsi" w:hAnsiTheme="minorHAnsi"/>
          <w:b/>
          <w:bCs/>
          <w:u w:val="single"/>
        </w:rPr>
        <w:t>Use of Local SPOC’s</w:t>
      </w:r>
    </w:p>
    <w:p w14:paraId="7D9C24B5" w14:textId="77777777" w:rsidR="007D6175" w:rsidRPr="007D6175" w:rsidRDefault="007D6175" w:rsidP="007D6175">
      <w:pPr>
        <w:pStyle w:val="s32"/>
        <w:ind w:right="375"/>
        <w:jc w:val="both"/>
        <w:rPr>
          <w:rStyle w:val="s5"/>
          <w:rFonts w:asciiTheme="minorHAnsi" w:hAnsiTheme="minorHAnsi"/>
        </w:rPr>
      </w:pPr>
      <w:r w:rsidRPr="007D6175">
        <w:rPr>
          <w:rStyle w:val="s15"/>
          <w:rFonts w:asciiTheme="minorHAnsi" w:hAnsiTheme="minorHAnsi"/>
        </w:rPr>
        <w:t>Use of a single point of contact can assist in simplifying communication channels. </w:t>
      </w:r>
      <w:proofErr w:type="gramStart"/>
      <w:r w:rsidRPr="007D6175">
        <w:rPr>
          <w:rStyle w:val="s15"/>
          <w:rFonts w:asciiTheme="minorHAnsi" w:hAnsiTheme="minorHAnsi"/>
        </w:rPr>
        <w:t>The use of local SPOCs,</w:t>
      </w:r>
      <w:proofErr w:type="gramEnd"/>
      <w:r w:rsidRPr="007D6175">
        <w:rPr>
          <w:rStyle w:val="s15"/>
          <w:rFonts w:asciiTheme="minorHAnsi" w:hAnsiTheme="minorHAnsi"/>
        </w:rPr>
        <w:t xml:space="preserve"> will remain at the discretion of Governors as to who is designated to liaise with trade union colleagues. Phil Copple has previously recommended a single local SPOC </w:t>
      </w:r>
      <w:proofErr w:type="gramStart"/>
      <w:r w:rsidRPr="007D6175">
        <w:rPr>
          <w:rStyle w:val="s15"/>
          <w:rFonts w:asciiTheme="minorHAnsi" w:hAnsiTheme="minorHAnsi"/>
        </w:rPr>
        <w:t>approach</w:t>
      </w:r>
      <w:proofErr w:type="gramEnd"/>
      <w:r w:rsidRPr="007D6175">
        <w:rPr>
          <w:rStyle w:val="s15"/>
          <w:rFonts w:asciiTheme="minorHAnsi" w:hAnsiTheme="minorHAnsi"/>
        </w:rPr>
        <w:t xml:space="preserve"> but it remains open to Governors to involve other staff as they see fit. </w:t>
      </w:r>
      <w:r w:rsidRPr="007D6175">
        <w:rPr>
          <w:rStyle w:val="s15"/>
          <w:rFonts w:asciiTheme="minorHAnsi" w:hAnsiTheme="minorHAnsi"/>
          <w:bCs/>
        </w:rPr>
        <w:t>However, to help prevent any delays, NTUS unions would prefer to minimise the number of contacts per establishment wherever possible, thereby reducing any confusion and resulting email traffic. </w:t>
      </w:r>
    </w:p>
    <w:p w14:paraId="6A392053" w14:textId="77777777" w:rsidR="007D6175" w:rsidRPr="007D6175" w:rsidRDefault="007D6175" w:rsidP="007D6175">
      <w:pPr>
        <w:pStyle w:val="s32"/>
        <w:ind w:right="375"/>
        <w:jc w:val="both"/>
        <w:rPr>
          <w:rStyle w:val="s5"/>
          <w:rFonts w:asciiTheme="minorHAnsi" w:hAnsiTheme="minorHAnsi"/>
          <w:b/>
          <w:i/>
        </w:rPr>
      </w:pPr>
      <w:r w:rsidRPr="007D6175">
        <w:rPr>
          <w:rStyle w:val="s15"/>
          <w:rFonts w:asciiTheme="minorHAnsi" w:hAnsiTheme="minorHAnsi"/>
          <w:b/>
          <w:bCs/>
          <w:i/>
        </w:rPr>
        <w:t>It would assist the unions greatly in order to expedite consultation, if establishments could supply the following information along with local plans and readiness assessments as follows:</w:t>
      </w:r>
    </w:p>
    <w:p w14:paraId="2C99F1A3"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 xml:space="preserve">Current level of </w:t>
      </w:r>
      <w:proofErr w:type="spellStart"/>
      <w:r w:rsidRPr="007D6175">
        <w:rPr>
          <w:rStyle w:val="s5"/>
          <w:rFonts w:asciiTheme="minorHAnsi" w:eastAsia="Times New Roman" w:hAnsiTheme="minorHAnsi"/>
        </w:rPr>
        <w:t>Covid</w:t>
      </w:r>
      <w:proofErr w:type="spellEnd"/>
      <w:r w:rsidRPr="007D6175">
        <w:rPr>
          <w:rStyle w:val="s5"/>
          <w:rFonts w:asciiTheme="minorHAnsi" w:eastAsia="Times New Roman" w:hAnsiTheme="minorHAnsi"/>
        </w:rPr>
        <w:t> cases </w:t>
      </w:r>
    </w:p>
    <w:p w14:paraId="28D7B9C1"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Vaccination levels</w:t>
      </w:r>
    </w:p>
    <w:p w14:paraId="76FDFC26"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Testing levels</w:t>
      </w:r>
    </w:p>
    <w:p w14:paraId="08BF323F"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RCU transfers </w:t>
      </w:r>
    </w:p>
    <w:p w14:paraId="29F758DB"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Staffing levels </w:t>
      </w:r>
    </w:p>
    <w:p w14:paraId="1118855B"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Cleaning compliance </w:t>
      </w:r>
    </w:p>
    <w:p w14:paraId="74C0A595"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Training take-up for non-op </w:t>
      </w:r>
    </w:p>
    <w:p w14:paraId="1D9D47CE"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FRSMs and face masks policy going forward </w:t>
      </w:r>
    </w:p>
    <w:p w14:paraId="35D87B49"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A digestible precis of changes other than minor ones to EDMs, LOPs and RAs. </w:t>
      </w:r>
    </w:p>
    <w:p w14:paraId="4CFE6401"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The actual EDMs/LOPs/RAs where there are more substantial changes with changes highlighted. </w:t>
      </w:r>
    </w:p>
    <w:p w14:paraId="564F54F3" w14:textId="77777777" w:rsidR="007D6175" w:rsidRPr="007D6175" w:rsidRDefault="007D6175" w:rsidP="007D6175">
      <w:pPr>
        <w:pStyle w:val="s35"/>
        <w:ind w:left="851"/>
        <w:jc w:val="both"/>
        <w:rPr>
          <w:rStyle w:val="s5"/>
          <w:rFonts w:asciiTheme="minorHAnsi" w:hAnsiTheme="minorHAnsi"/>
          <w:i/>
        </w:rPr>
      </w:pPr>
      <w:r w:rsidRPr="007D6175">
        <w:rPr>
          <w:rStyle w:val="s5"/>
          <w:rFonts w:asciiTheme="minorHAnsi" w:hAnsiTheme="minorHAnsi"/>
          <w:i/>
        </w:rPr>
        <w:t>e.g., list of EDMs with more than just minor updates due to guidance changes to be listed with the invitation for us to request copies of what we require, thus reduce the amount of EDMs/LOPs/RAs etc. that we don’t necessarily need to see (for some health care ones for example). </w:t>
      </w:r>
    </w:p>
    <w:p w14:paraId="3C7ADF45" w14:textId="77777777" w:rsidR="007D6175" w:rsidRPr="007D6175" w:rsidRDefault="007D6175" w:rsidP="007D6175">
      <w:pPr>
        <w:pStyle w:val="ListParagraph"/>
        <w:numPr>
          <w:ilvl w:val="0"/>
          <w:numId w:val="7"/>
        </w:numPr>
        <w:spacing w:before="100" w:beforeAutospacing="1" w:after="100" w:afterAutospacing="1"/>
        <w:ind w:left="851" w:hanging="425"/>
        <w:jc w:val="both"/>
        <w:rPr>
          <w:rStyle w:val="s5"/>
          <w:rFonts w:asciiTheme="minorHAnsi" w:eastAsia="Times New Roman" w:hAnsiTheme="minorHAnsi"/>
        </w:rPr>
      </w:pPr>
      <w:r w:rsidRPr="007D6175">
        <w:rPr>
          <w:rStyle w:val="s5"/>
          <w:rFonts w:asciiTheme="minorHAnsi" w:eastAsia="Times New Roman" w:hAnsiTheme="minorHAnsi"/>
        </w:rPr>
        <w:t>Mention of the backlogs strategy for anything that has been affected but especially staff training, holidays, programmes. </w:t>
      </w:r>
    </w:p>
    <w:p w14:paraId="50D4309C" w14:textId="77777777" w:rsidR="007D6175" w:rsidRPr="007D6175" w:rsidRDefault="007D6175" w:rsidP="007D6175">
      <w:pPr>
        <w:pStyle w:val="s8"/>
        <w:jc w:val="both"/>
        <w:rPr>
          <w:rStyle w:val="s5"/>
          <w:rFonts w:asciiTheme="minorHAnsi" w:hAnsiTheme="minorHAnsi"/>
        </w:rPr>
      </w:pPr>
    </w:p>
    <w:p w14:paraId="7759A2A4" w14:textId="77777777" w:rsidR="00AA3D76" w:rsidRPr="007D6175" w:rsidRDefault="007C35A0" w:rsidP="007D6175">
      <w:pPr>
        <w:spacing w:before="100" w:beforeAutospacing="1" w:after="100" w:afterAutospacing="1"/>
        <w:rPr>
          <w:rFonts w:asciiTheme="minorHAnsi" w:hAnsiTheme="minorHAnsi"/>
        </w:rPr>
      </w:pPr>
    </w:p>
    <w:p w14:paraId="44C162D7" w14:textId="77777777" w:rsidR="007D6175" w:rsidRPr="007D6175" w:rsidRDefault="007D6175" w:rsidP="007D6175">
      <w:pPr>
        <w:spacing w:before="100" w:beforeAutospacing="1" w:after="100" w:afterAutospacing="1"/>
        <w:rPr>
          <w:rFonts w:asciiTheme="minorHAnsi" w:hAnsiTheme="minorHAnsi"/>
        </w:rPr>
      </w:pPr>
    </w:p>
    <w:sectPr w:rsidR="007D6175" w:rsidRPr="007D6175" w:rsidSect="007D6175">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ED23" w14:textId="77777777" w:rsidR="005B6F28" w:rsidRDefault="005B6F28" w:rsidP="00CF5ED6">
      <w:r>
        <w:separator/>
      </w:r>
    </w:p>
  </w:endnote>
  <w:endnote w:type="continuationSeparator" w:id="0">
    <w:p w14:paraId="28EE2DA6" w14:textId="77777777" w:rsidR="005B6F28" w:rsidRDefault="005B6F28" w:rsidP="00C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286894"/>
      <w:docPartObj>
        <w:docPartGallery w:val="Page Numbers (Bottom of Page)"/>
        <w:docPartUnique/>
      </w:docPartObj>
    </w:sdtPr>
    <w:sdtEndPr>
      <w:rPr>
        <w:noProof/>
      </w:rPr>
    </w:sdtEndPr>
    <w:sdtContent>
      <w:p w14:paraId="1A813373" w14:textId="77777777" w:rsidR="00CF5ED6" w:rsidRDefault="00CF5ED6">
        <w:pPr>
          <w:pStyle w:val="Footer"/>
          <w:jc w:val="right"/>
        </w:pPr>
        <w:r>
          <w:fldChar w:fldCharType="begin"/>
        </w:r>
        <w:r>
          <w:instrText xml:space="preserve"> PAGE   \* MERGEFORMAT </w:instrText>
        </w:r>
        <w:r>
          <w:fldChar w:fldCharType="separate"/>
        </w:r>
        <w:r w:rsidR="00F32DD1">
          <w:rPr>
            <w:noProof/>
          </w:rPr>
          <w:t>1</w:t>
        </w:r>
        <w:r>
          <w:rPr>
            <w:noProof/>
          </w:rPr>
          <w:fldChar w:fldCharType="end"/>
        </w:r>
      </w:p>
    </w:sdtContent>
  </w:sdt>
  <w:p w14:paraId="699F81F1" w14:textId="77777777" w:rsidR="00CF5ED6" w:rsidRDefault="00CF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E2BE" w14:textId="77777777" w:rsidR="005B6F28" w:rsidRDefault="005B6F28" w:rsidP="00CF5ED6">
      <w:r>
        <w:separator/>
      </w:r>
    </w:p>
  </w:footnote>
  <w:footnote w:type="continuationSeparator" w:id="0">
    <w:p w14:paraId="2DFBE34F" w14:textId="77777777" w:rsidR="005B6F28" w:rsidRDefault="005B6F28" w:rsidP="00CF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231"/>
    <w:multiLevelType w:val="hybridMultilevel"/>
    <w:tmpl w:val="63065874"/>
    <w:lvl w:ilvl="0" w:tplc="81A400F6">
      <w:numFmt w:val="bullet"/>
      <w:lvlText w:val="•"/>
      <w:lvlJc w:val="left"/>
      <w:pPr>
        <w:ind w:left="1098" w:hanging="360"/>
      </w:pPr>
      <w:rPr>
        <w:rFonts w:ascii="Calibri" w:eastAsia="Times New Roman" w:hAnsi="Calibri" w:cs="Times New Roman" w:hint="default"/>
        <w:sz w:val="18"/>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15:restartNumberingAfterBreak="0">
    <w:nsid w:val="1AE902B1"/>
    <w:multiLevelType w:val="hybridMultilevel"/>
    <w:tmpl w:val="EA44F10C"/>
    <w:lvl w:ilvl="0" w:tplc="81A400F6">
      <w:numFmt w:val="bullet"/>
      <w:lvlText w:val="•"/>
      <w:lvlJc w:val="left"/>
      <w:pPr>
        <w:ind w:left="531" w:hanging="360"/>
      </w:pPr>
      <w:rPr>
        <w:rFonts w:ascii="Calibri" w:eastAsia="Times New Roman" w:hAnsi="Calibri" w:cs="Times New Roman" w:hint="default"/>
        <w:sz w:val="18"/>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265E2A2D"/>
    <w:multiLevelType w:val="hybridMultilevel"/>
    <w:tmpl w:val="587E3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A56B5"/>
    <w:multiLevelType w:val="hybridMultilevel"/>
    <w:tmpl w:val="3754FDA4"/>
    <w:lvl w:ilvl="0" w:tplc="81A400F6">
      <w:numFmt w:val="bullet"/>
      <w:lvlText w:val="•"/>
      <w:lvlJc w:val="left"/>
      <w:pPr>
        <w:ind w:left="786" w:hanging="360"/>
      </w:pPr>
      <w:rPr>
        <w:rFonts w:ascii="Calibri" w:eastAsia="Times New Roman" w:hAnsi="Calibri" w:cs="Times New Roman" w:hint="default"/>
        <w:sz w:val="1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EB154E2"/>
    <w:multiLevelType w:val="hybridMultilevel"/>
    <w:tmpl w:val="9956EA18"/>
    <w:lvl w:ilvl="0" w:tplc="4C2CC448">
      <w:start w:val="1"/>
      <w:numFmt w:val="decimal"/>
      <w:lvlText w:val="%1."/>
      <w:lvlJc w:val="left"/>
      <w:pPr>
        <w:ind w:left="786" w:hanging="360"/>
      </w:pPr>
      <w:rPr>
        <w:rFonts w:hint="default"/>
        <w:b/>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315606B"/>
    <w:multiLevelType w:val="hybridMultilevel"/>
    <w:tmpl w:val="585C3C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654F525B"/>
    <w:multiLevelType w:val="hybridMultilevel"/>
    <w:tmpl w:val="748EE6CA"/>
    <w:lvl w:ilvl="0" w:tplc="81A400F6">
      <w:numFmt w:val="bullet"/>
      <w:lvlText w:val="•"/>
      <w:lvlJc w:val="left"/>
      <w:pPr>
        <w:ind w:left="786" w:hanging="360"/>
      </w:pPr>
      <w:rPr>
        <w:rFonts w:ascii="Calibri" w:eastAsia="Times New Roman" w:hAnsi="Calibri"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75"/>
    <w:rsid w:val="00114BB8"/>
    <w:rsid w:val="005B6F28"/>
    <w:rsid w:val="007C35A0"/>
    <w:rsid w:val="007D6175"/>
    <w:rsid w:val="009F2B6F"/>
    <w:rsid w:val="00CF5ED6"/>
    <w:rsid w:val="00F3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3E55"/>
  <w15:chartTrackingRefBased/>
  <w15:docId w15:val="{1E2C86FC-09F6-4F66-8F09-C0AECB44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7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175"/>
    <w:rPr>
      <w:color w:val="0000FF"/>
      <w:u w:val="single"/>
    </w:rPr>
  </w:style>
  <w:style w:type="paragraph" w:customStyle="1" w:styleId="s3">
    <w:name w:val="s3"/>
    <w:basedOn w:val="Normal"/>
    <w:rsid w:val="007D6175"/>
    <w:pPr>
      <w:spacing w:before="100" w:beforeAutospacing="1" w:after="100" w:afterAutospacing="1"/>
    </w:pPr>
  </w:style>
  <w:style w:type="paragraph" w:customStyle="1" w:styleId="s4">
    <w:name w:val="s4"/>
    <w:basedOn w:val="Normal"/>
    <w:rsid w:val="007D6175"/>
    <w:pPr>
      <w:spacing w:before="100" w:beforeAutospacing="1" w:after="100" w:afterAutospacing="1"/>
    </w:pPr>
  </w:style>
  <w:style w:type="paragraph" w:customStyle="1" w:styleId="s6">
    <w:name w:val="s6"/>
    <w:basedOn w:val="Normal"/>
    <w:rsid w:val="007D6175"/>
    <w:pPr>
      <w:spacing w:before="100" w:beforeAutospacing="1" w:after="100" w:afterAutospacing="1"/>
    </w:pPr>
  </w:style>
  <w:style w:type="paragraph" w:customStyle="1" w:styleId="s8">
    <w:name w:val="s8"/>
    <w:basedOn w:val="Normal"/>
    <w:rsid w:val="007D6175"/>
    <w:pPr>
      <w:spacing w:before="100" w:beforeAutospacing="1" w:after="100" w:afterAutospacing="1"/>
    </w:pPr>
  </w:style>
  <w:style w:type="paragraph" w:customStyle="1" w:styleId="s10">
    <w:name w:val="s10"/>
    <w:basedOn w:val="Normal"/>
    <w:rsid w:val="007D6175"/>
    <w:pPr>
      <w:spacing w:before="100" w:beforeAutospacing="1" w:after="100" w:afterAutospacing="1"/>
    </w:pPr>
  </w:style>
  <w:style w:type="paragraph" w:customStyle="1" w:styleId="s17">
    <w:name w:val="s17"/>
    <w:basedOn w:val="Normal"/>
    <w:rsid w:val="007D6175"/>
    <w:pPr>
      <w:spacing w:before="100" w:beforeAutospacing="1" w:after="100" w:afterAutospacing="1"/>
    </w:pPr>
  </w:style>
  <w:style w:type="paragraph" w:customStyle="1" w:styleId="s24">
    <w:name w:val="s24"/>
    <w:basedOn w:val="Normal"/>
    <w:rsid w:val="007D6175"/>
    <w:pPr>
      <w:spacing w:before="100" w:beforeAutospacing="1" w:after="100" w:afterAutospacing="1"/>
    </w:pPr>
  </w:style>
  <w:style w:type="paragraph" w:customStyle="1" w:styleId="s30">
    <w:name w:val="s30"/>
    <w:basedOn w:val="Normal"/>
    <w:rsid w:val="007D6175"/>
    <w:pPr>
      <w:spacing w:before="100" w:beforeAutospacing="1" w:after="100" w:afterAutospacing="1"/>
    </w:pPr>
  </w:style>
  <w:style w:type="paragraph" w:customStyle="1" w:styleId="s31">
    <w:name w:val="s31"/>
    <w:basedOn w:val="Normal"/>
    <w:rsid w:val="007D6175"/>
    <w:pPr>
      <w:spacing w:before="100" w:beforeAutospacing="1" w:after="100" w:afterAutospacing="1"/>
    </w:pPr>
  </w:style>
  <w:style w:type="paragraph" w:customStyle="1" w:styleId="s32">
    <w:name w:val="s32"/>
    <w:basedOn w:val="Normal"/>
    <w:rsid w:val="007D6175"/>
    <w:pPr>
      <w:spacing w:before="100" w:beforeAutospacing="1" w:after="100" w:afterAutospacing="1"/>
    </w:pPr>
  </w:style>
  <w:style w:type="paragraph" w:customStyle="1" w:styleId="s35">
    <w:name w:val="s35"/>
    <w:basedOn w:val="Normal"/>
    <w:rsid w:val="007D6175"/>
    <w:pPr>
      <w:spacing w:before="100" w:beforeAutospacing="1" w:after="100" w:afterAutospacing="1"/>
    </w:pPr>
  </w:style>
  <w:style w:type="character" w:customStyle="1" w:styleId="s2">
    <w:name w:val="s2"/>
    <w:basedOn w:val="DefaultParagraphFont"/>
    <w:rsid w:val="007D6175"/>
  </w:style>
  <w:style w:type="character" w:customStyle="1" w:styleId="s5">
    <w:name w:val="s5"/>
    <w:basedOn w:val="DefaultParagraphFont"/>
    <w:rsid w:val="007D6175"/>
  </w:style>
  <w:style w:type="character" w:customStyle="1" w:styleId="s7">
    <w:name w:val="s7"/>
    <w:basedOn w:val="DefaultParagraphFont"/>
    <w:rsid w:val="007D6175"/>
  </w:style>
  <w:style w:type="character" w:customStyle="1" w:styleId="s9">
    <w:name w:val="s9"/>
    <w:basedOn w:val="DefaultParagraphFont"/>
    <w:rsid w:val="007D6175"/>
  </w:style>
  <w:style w:type="character" w:customStyle="1" w:styleId="s11">
    <w:name w:val="s11"/>
    <w:basedOn w:val="DefaultParagraphFont"/>
    <w:rsid w:val="007D6175"/>
  </w:style>
  <w:style w:type="character" w:customStyle="1" w:styleId="s12">
    <w:name w:val="s12"/>
    <w:basedOn w:val="DefaultParagraphFont"/>
    <w:rsid w:val="007D6175"/>
  </w:style>
  <w:style w:type="character" w:customStyle="1" w:styleId="s14">
    <w:name w:val="s14"/>
    <w:basedOn w:val="DefaultParagraphFont"/>
    <w:rsid w:val="007D6175"/>
  </w:style>
  <w:style w:type="character" w:customStyle="1" w:styleId="s15">
    <w:name w:val="s15"/>
    <w:basedOn w:val="DefaultParagraphFont"/>
    <w:rsid w:val="007D6175"/>
  </w:style>
  <w:style w:type="character" w:customStyle="1" w:styleId="s16">
    <w:name w:val="s16"/>
    <w:basedOn w:val="DefaultParagraphFont"/>
    <w:rsid w:val="007D6175"/>
  </w:style>
  <w:style w:type="character" w:customStyle="1" w:styleId="s18">
    <w:name w:val="s18"/>
    <w:basedOn w:val="DefaultParagraphFont"/>
    <w:rsid w:val="007D6175"/>
  </w:style>
  <w:style w:type="character" w:customStyle="1" w:styleId="s19">
    <w:name w:val="s19"/>
    <w:basedOn w:val="DefaultParagraphFont"/>
    <w:rsid w:val="007D6175"/>
  </w:style>
  <w:style w:type="character" w:customStyle="1" w:styleId="s20">
    <w:name w:val="s20"/>
    <w:basedOn w:val="DefaultParagraphFont"/>
    <w:rsid w:val="007D6175"/>
  </w:style>
  <w:style w:type="character" w:customStyle="1" w:styleId="s23">
    <w:name w:val="s23"/>
    <w:basedOn w:val="DefaultParagraphFont"/>
    <w:rsid w:val="007D6175"/>
  </w:style>
  <w:style w:type="character" w:customStyle="1" w:styleId="s25">
    <w:name w:val="s25"/>
    <w:basedOn w:val="DefaultParagraphFont"/>
    <w:rsid w:val="007D6175"/>
  </w:style>
  <w:style w:type="character" w:customStyle="1" w:styleId="s28">
    <w:name w:val="s28"/>
    <w:basedOn w:val="DefaultParagraphFont"/>
    <w:rsid w:val="007D6175"/>
  </w:style>
  <w:style w:type="character" w:customStyle="1" w:styleId="s33">
    <w:name w:val="s33"/>
    <w:basedOn w:val="DefaultParagraphFont"/>
    <w:rsid w:val="007D6175"/>
  </w:style>
  <w:style w:type="paragraph" w:styleId="ListParagraph">
    <w:name w:val="List Paragraph"/>
    <w:basedOn w:val="Normal"/>
    <w:uiPriority w:val="34"/>
    <w:qFormat/>
    <w:rsid w:val="007D6175"/>
    <w:pPr>
      <w:ind w:left="720"/>
      <w:contextualSpacing/>
    </w:pPr>
  </w:style>
  <w:style w:type="paragraph" w:styleId="Header">
    <w:name w:val="header"/>
    <w:basedOn w:val="Normal"/>
    <w:link w:val="HeaderChar"/>
    <w:uiPriority w:val="99"/>
    <w:unhideWhenUsed/>
    <w:rsid w:val="00CF5ED6"/>
    <w:pPr>
      <w:tabs>
        <w:tab w:val="center" w:pos="4513"/>
        <w:tab w:val="right" w:pos="9026"/>
      </w:tabs>
    </w:pPr>
  </w:style>
  <w:style w:type="character" w:customStyle="1" w:styleId="HeaderChar">
    <w:name w:val="Header Char"/>
    <w:basedOn w:val="DefaultParagraphFont"/>
    <w:link w:val="Header"/>
    <w:uiPriority w:val="99"/>
    <w:rsid w:val="00CF5ED6"/>
    <w:rPr>
      <w:rFonts w:ascii="Times New Roman" w:hAnsi="Times New Roman" w:cs="Times New Roman"/>
      <w:sz w:val="24"/>
      <w:szCs w:val="24"/>
      <w:lang w:eastAsia="en-GB"/>
    </w:rPr>
  </w:style>
  <w:style w:type="paragraph" w:styleId="Footer">
    <w:name w:val="footer"/>
    <w:basedOn w:val="Normal"/>
    <w:link w:val="FooterChar"/>
    <w:uiPriority w:val="99"/>
    <w:unhideWhenUsed/>
    <w:rsid w:val="00CF5ED6"/>
    <w:pPr>
      <w:tabs>
        <w:tab w:val="center" w:pos="4513"/>
        <w:tab w:val="right" w:pos="9026"/>
      </w:tabs>
    </w:pPr>
  </w:style>
  <w:style w:type="character" w:customStyle="1" w:styleId="FooterChar">
    <w:name w:val="Footer Char"/>
    <w:basedOn w:val="DefaultParagraphFont"/>
    <w:link w:val="Footer"/>
    <w:uiPriority w:val="99"/>
    <w:rsid w:val="00CF5ED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9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n.evans@unitetheun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vin.Brandstatter@gm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vor.Jacquet@just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igel.Wharrier@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all.mccormick@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Props1.xml><?xml version="1.0" encoding="utf-8"?>
<ds:datastoreItem xmlns:ds="http://schemas.openxmlformats.org/officeDocument/2006/customXml" ds:itemID="{4EF6B70F-90E9-4426-81B0-D30A8B70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BDCA6-E204-4E10-9A9D-81565683FE39}">
  <ds:schemaRefs>
    <ds:schemaRef ds:uri="http://schemas.microsoft.com/sharepoint/v3/contenttype/forms"/>
  </ds:schemaRefs>
</ds:datastoreItem>
</file>

<file path=customXml/itemProps3.xml><?xml version="1.0" encoding="utf-8"?>
<ds:datastoreItem xmlns:ds="http://schemas.openxmlformats.org/officeDocument/2006/customXml" ds:itemID="{98F323B6-B668-45FB-BB01-A1627945296F}">
  <ds:schemaRefs>
    <ds:schemaRef ds:uri="http://schemas.microsoft.com/office/2006/metadata/properties"/>
    <ds:schemaRef ds:uri="http://schemas.microsoft.com/office/infopath/2007/PartnerControls"/>
    <ds:schemaRef ds:uri="0bb1c71b-1126-420a-8375-5baa5d70e5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Heppell, Andy [HMPS]</dc:creator>
  <cp:keywords/>
  <dc:description/>
  <cp:lastModifiedBy>Liddemore, David</cp:lastModifiedBy>
  <cp:revision>2</cp:revision>
  <dcterms:created xsi:type="dcterms:W3CDTF">2021-05-28T13:34:00Z</dcterms:created>
  <dcterms:modified xsi:type="dcterms:W3CDTF">2021-05-28T13:34:00Z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