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3BEE3" w14:textId="06260A51" w:rsidR="00B166B9" w:rsidRPr="00F168B6" w:rsidRDefault="00B166B9" w:rsidP="00E61900">
      <w:pPr>
        <w:jc w:val="center"/>
        <w:rPr>
          <w:b/>
          <w:bCs/>
          <w:sz w:val="24"/>
          <w:szCs w:val="24"/>
          <w:u w:val="single"/>
        </w:rPr>
      </w:pPr>
      <w:bookmarkStart w:id="0" w:name="_GoBack"/>
      <w:bookmarkEnd w:id="0"/>
      <w:r w:rsidRPr="00F168B6">
        <w:rPr>
          <w:b/>
          <w:bCs/>
          <w:sz w:val="24"/>
          <w:szCs w:val="24"/>
          <w:u w:val="single"/>
        </w:rPr>
        <w:t>Gold Briefing – 25 May 2021</w:t>
      </w:r>
    </w:p>
    <w:p w14:paraId="7C6681F7" w14:textId="0394D7F2" w:rsidR="00B166B9" w:rsidRDefault="00B166B9" w:rsidP="00B166B9">
      <w:pPr>
        <w:rPr>
          <w:sz w:val="24"/>
          <w:szCs w:val="24"/>
        </w:rPr>
      </w:pPr>
    </w:p>
    <w:p w14:paraId="002D1218" w14:textId="550B7B82" w:rsidR="00B166B9" w:rsidRPr="00E61900" w:rsidRDefault="00B166B9" w:rsidP="00B166B9">
      <w:pPr>
        <w:rPr>
          <w:b/>
          <w:bCs/>
          <w:sz w:val="24"/>
          <w:szCs w:val="24"/>
          <w:u w:val="single"/>
        </w:rPr>
      </w:pPr>
      <w:r w:rsidRPr="00E61900">
        <w:rPr>
          <w:b/>
          <w:bCs/>
          <w:sz w:val="24"/>
          <w:szCs w:val="24"/>
          <w:u w:val="single"/>
        </w:rPr>
        <w:t>Variants of Concern</w:t>
      </w:r>
    </w:p>
    <w:p w14:paraId="348E11DA" w14:textId="3F36D5E6" w:rsidR="00B166B9" w:rsidRDefault="00B166B9" w:rsidP="00B166B9">
      <w:pPr>
        <w:rPr>
          <w:sz w:val="24"/>
          <w:szCs w:val="24"/>
        </w:rPr>
      </w:pPr>
    </w:p>
    <w:p w14:paraId="35B8BBE9" w14:textId="63EB2E44" w:rsidR="00E61900" w:rsidRPr="00E61900" w:rsidRDefault="00E61900" w:rsidP="00B166B9">
      <w:pPr>
        <w:rPr>
          <w:sz w:val="24"/>
          <w:szCs w:val="24"/>
          <w:u w:val="single"/>
        </w:rPr>
      </w:pPr>
      <w:r w:rsidRPr="00E61900">
        <w:rPr>
          <w:sz w:val="24"/>
          <w:szCs w:val="24"/>
          <w:u w:val="single"/>
        </w:rPr>
        <w:t>Purpose</w:t>
      </w:r>
    </w:p>
    <w:p w14:paraId="505AD85E" w14:textId="77777777" w:rsidR="00E61900" w:rsidRDefault="00E61900" w:rsidP="00B166B9">
      <w:pPr>
        <w:rPr>
          <w:sz w:val="24"/>
          <w:szCs w:val="24"/>
        </w:rPr>
      </w:pPr>
    </w:p>
    <w:p w14:paraId="066369F0" w14:textId="2BB6B5FB" w:rsidR="00C655B9" w:rsidRDefault="00E61900" w:rsidP="00473554">
      <w:pPr>
        <w:jc w:val="both"/>
        <w:rPr>
          <w:sz w:val="24"/>
          <w:szCs w:val="24"/>
        </w:rPr>
      </w:pPr>
      <w:r>
        <w:rPr>
          <w:sz w:val="24"/>
          <w:szCs w:val="24"/>
        </w:rPr>
        <w:t xml:space="preserve">Over </w:t>
      </w:r>
      <w:r w:rsidR="00C51FA2">
        <w:rPr>
          <w:sz w:val="24"/>
          <w:szCs w:val="24"/>
        </w:rPr>
        <w:t>recent</w:t>
      </w:r>
      <w:r>
        <w:rPr>
          <w:sz w:val="24"/>
          <w:szCs w:val="24"/>
        </w:rPr>
        <w:t xml:space="preserve"> days you will</w:t>
      </w:r>
      <w:r w:rsidR="00D517DB">
        <w:rPr>
          <w:sz w:val="24"/>
          <w:szCs w:val="24"/>
        </w:rPr>
        <w:t xml:space="preserve"> </w:t>
      </w:r>
      <w:r w:rsidR="00F668CA">
        <w:rPr>
          <w:sz w:val="24"/>
          <w:szCs w:val="24"/>
        </w:rPr>
        <w:t xml:space="preserve">have </w:t>
      </w:r>
      <w:r w:rsidR="00D517DB">
        <w:rPr>
          <w:sz w:val="24"/>
          <w:szCs w:val="24"/>
        </w:rPr>
        <w:t>seen increased media attention on the number of areas where Variants of Concern (</w:t>
      </w:r>
      <w:proofErr w:type="spellStart"/>
      <w:r w:rsidR="00D517DB">
        <w:rPr>
          <w:sz w:val="24"/>
          <w:szCs w:val="24"/>
        </w:rPr>
        <w:t>VoC</w:t>
      </w:r>
      <w:proofErr w:type="spellEnd"/>
      <w:r w:rsidR="00D517DB">
        <w:rPr>
          <w:sz w:val="24"/>
          <w:szCs w:val="24"/>
        </w:rPr>
        <w:t>) have been identified</w:t>
      </w:r>
      <w:r w:rsidR="00AB6FA2">
        <w:rPr>
          <w:sz w:val="24"/>
          <w:szCs w:val="24"/>
        </w:rPr>
        <w:t xml:space="preserve">. </w:t>
      </w:r>
    </w:p>
    <w:p w14:paraId="57E45796" w14:textId="77777777" w:rsidR="00473554" w:rsidRDefault="00473554" w:rsidP="00B166B9">
      <w:pPr>
        <w:rPr>
          <w:sz w:val="24"/>
          <w:szCs w:val="24"/>
        </w:rPr>
      </w:pPr>
    </w:p>
    <w:p w14:paraId="6DF58E07" w14:textId="45EDDA03" w:rsidR="00473554" w:rsidRDefault="00473554" w:rsidP="00473554">
      <w:pPr>
        <w:jc w:val="both"/>
        <w:rPr>
          <w:sz w:val="24"/>
          <w:szCs w:val="24"/>
        </w:rPr>
      </w:pPr>
      <w:r w:rsidRPr="00BD1482">
        <w:rPr>
          <w:sz w:val="24"/>
          <w:szCs w:val="24"/>
        </w:rPr>
        <w:t xml:space="preserve">The presence of new variants of concern is a reminder that the risk of COVID-19 very much </w:t>
      </w:r>
      <w:r w:rsidR="00094370" w:rsidRPr="00BD1482">
        <w:rPr>
          <w:sz w:val="24"/>
          <w:szCs w:val="24"/>
        </w:rPr>
        <w:t>remains,</w:t>
      </w:r>
      <w:r w:rsidRPr="00BD1482">
        <w:rPr>
          <w:sz w:val="24"/>
          <w:szCs w:val="24"/>
        </w:rPr>
        <w:t xml:space="preserve"> and it has never been more important to take up the offer of frequent LFD and PCR testing in the workplace or at home. This remains extremely important regardless of whether you have been vaccinated. </w:t>
      </w:r>
    </w:p>
    <w:p w14:paraId="00569198" w14:textId="77777777" w:rsidR="00473554" w:rsidRPr="00BD1482" w:rsidRDefault="00473554" w:rsidP="00473554">
      <w:pPr>
        <w:rPr>
          <w:sz w:val="24"/>
          <w:szCs w:val="24"/>
        </w:rPr>
      </w:pPr>
    </w:p>
    <w:p w14:paraId="141C1FC1" w14:textId="77777777" w:rsidR="00473554" w:rsidRPr="00BD1482" w:rsidRDefault="00473554" w:rsidP="00473554">
      <w:pPr>
        <w:jc w:val="both"/>
        <w:rPr>
          <w:sz w:val="24"/>
          <w:szCs w:val="24"/>
        </w:rPr>
      </w:pPr>
      <w:r w:rsidRPr="00BD1482">
        <w:rPr>
          <w:sz w:val="24"/>
          <w:szCs w:val="24"/>
        </w:rPr>
        <w:t xml:space="preserve">Taking part in regular testing will continue to protect your friends, family and colleagues. You are also strongly encouraged to take part in any local surge testing. </w:t>
      </w:r>
    </w:p>
    <w:p w14:paraId="15938749" w14:textId="77777777" w:rsidR="00C655B9" w:rsidRDefault="00C655B9" w:rsidP="00B166B9">
      <w:pPr>
        <w:rPr>
          <w:sz w:val="24"/>
          <w:szCs w:val="24"/>
        </w:rPr>
      </w:pPr>
    </w:p>
    <w:p w14:paraId="09238E66" w14:textId="7D1FCCBC" w:rsidR="00337650" w:rsidRDefault="00E61900" w:rsidP="00B166B9">
      <w:pPr>
        <w:rPr>
          <w:sz w:val="24"/>
          <w:szCs w:val="24"/>
        </w:rPr>
      </w:pPr>
      <w:r>
        <w:rPr>
          <w:sz w:val="24"/>
          <w:szCs w:val="24"/>
        </w:rPr>
        <w:t>This Gold Brief is to provide you with</w:t>
      </w:r>
      <w:r w:rsidR="00094370">
        <w:rPr>
          <w:sz w:val="24"/>
          <w:szCs w:val="24"/>
        </w:rPr>
        <w:t>:</w:t>
      </w:r>
    </w:p>
    <w:p w14:paraId="335DFD4F" w14:textId="3272E74A" w:rsidR="00337650" w:rsidRDefault="003C150E" w:rsidP="00337650">
      <w:pPr>
        <w:pStyle w:val="ListParagraph"/>
        <w:numPr>
          <w:ilvl w:val="0"/>
          <w:numId w:val="7"/>
        </w:numPr>
        <w:rPr>
          <w:sz w:val="24"/>
          <w:szCs w:val="24"/>
        </w:rPr>
      </w:pPr>
      <w:r w:rsidRPr="00337650">
        <w:rPr>
          <w:sz w:val="24"/>
          <w:szCs w:val="24"/>
        </w:rPr>
        <w:t xml:space="preserve">more information about </w:t>
      </w:r>
      <w:proofErr w:type="spellStart"/>
      <w:r w:rsidR="00AC1303" w:rsidRPr="00337650">
        <w:rPr>
          <w:sz w:val="24"/>
          <w:szCs w:val="24"/>
        </w:rPr>
        <w:t>VoC</w:t>
      </w:r>
      <w:proofErr w:type="spellEnd"/>
      <w:r w:rsidR="00AC1303" w:rsidRPr="00337650">
        <w:rPr>
          <w:sz w:val="24"/>
          <w:szCs w:val="24"/>
        </w:rPr>
        <w:t xml:space="preserve"> </w:t>
      </w:r>
      <w:r w:rsidR="0084452A" w:rsidRPr="00337650">
        <w:rPr>
          <w:sz w:val="24"/>
          <w:szCs w:val="24"/>
        </w:rPr>
        <w:t>generally</w:t>
      </w:r>
      <w:r w:rsidR="00094370">
        <w:rPr>
          <w:sz w:val="24"/>
          <w:szCs w:val="24"/>
        </w:rPr>
        <w:t>; and to</w:t>
      </w:r>
    </w:p>
    <w:p w14:paraId="11A9A728" w14:textId="00B3DE6A" w:rsidR="00745E4F" w:rsidRDefault="0084452A" w:rsidP="00337650">
      <w:pPr>
        <w:pStyle w:val="ListParagraph"/>
        <w:numPr>
          <w:ilvl w:val="0"/>
          <w:numId w:val="7"/>
        </w:numPr>
        <w:rPr>
          <w:sz w:val="24"/>
          <w:szCs w:val="24"/>
        </w:rPr>
      </w:pPr>
      <w:r w:rsidRPr="00337650">
        <w:rPr>
          <w:sz w:val="24"/>
          <w:szCs w:val="24"/>
        </w:rPr>
        <w:t xml:space="preserve">provide the current position on </w:t>
      </w:r>
      <w:r w:rsidR="00745E4F" w:rsidRPr="00337650">
        <w:rPr>
          <w:sz w:val="24"/>
          <w:szCs w:val="24"/>
        </w:rPr>
        <w:t xml:space="preserve">the implications </w:t>
      </w:r>
      <w:r w:rsidR="00E86585" w:rsidRPr="00337650">
        <w:rPr>
          <w:sz w:val="24"/>
          <w:szCs w:val="24"/>
        </w:rPr>
        <w:t>for</w:t>
      </w:r>
      <w:r w:rsidRPr="00337650">
        <w:rPr>
          <w:sz w:val="24"/>
          <w:szCs w:val="24"/>
        </w:rPr>
        <w:t xml:space="preserve"> specific </w:t>
      </w:r>
      <w:r w:rsidR="00E86585" w:rsidRPr="00337650">
        <w:rPr>
          <w:sz w:val="24"/>
          <w:szCs w:val="24"/>
        </w:rPr>
        <w:t>regime</w:t>
      </w:r>
      <w:r w:rsidR="00745E4F" w:rsidRPr="00337650">
        <w:rPr>
          <w:sz w:val="24"/>
          <w:szCs w:val="24"/>
        </w:rPr>
        <w:t xml:space="preserve"> activities, namely ROTL and Social Visits.</w:t>
      </w:r>
    </w:p>
    <w:p w14:paraId="6EBA47C9" w14:textId="7B60CFC5" w:rsidR="00745E4F" w:rsidRDefault="00745E4F" w:rsidP="00B166B9">
      <w:pPr>
        <w:rPr>
          <w:sz w:val="24"/>
          <w:szCs w:val="24"/>
        </w:rPr>
      </w:pPr>
    </w:p>
    <w:p w14:paraId="4C0FAC2E" w14:textId="562D32A5" w:rsidR="00745E4F" w:rsidRPr="0007354A" w:rsidRDefault="00745E4F" w:rsidP="0007354A">
      <w:pPr>
        <w:pStyle w:val="ListParagraph"/>
        <w:numPr>
          <w:ilvl w:val="0"/>
          <w:numId w:val="8"/>
        </w:numPr>
        <w:rPr>
          <w:sz w:val="24"/>
          <w:szCs w:val="24"/>
          <w:u w:val="single"/>
        </w:rPr>
      </w:pPr>
      <w:r w:rsidRPr="0007354A">
        <w:rPr>
          <w:sz w:val="24"/>
          <w:szCs w:val="24"/>
          <w:u w:val="single"/>
        </w:rPr>
        <w:t xml:space="preserve">General </w:t>
      </w:r>
      <w:r w:rsidR="00D111DC" w:rsidRPr="0007354A">
        <w:rPr>
          <w:sz w:val="24"/>
          <w:szCs w:val="24"/>
          <w:u w:val="single"/>
        </w:rPr>
        <w:t xml:space="preserve">information on </w:t>
      </w:r>
      <w:proofErr w:type="spellStart"/>
      <w:r w:rsidRPr="0007354A">
        <w:rPr>
          <w:sz w:val="24"/>
          <w:szCs w:val="24"/>
          <w:u w:val="single"/>
        </w:rPr>
        <w:t>VoC</w:t>
      </w:r>
      <w:proofErr w:type="spellEnd"/>
    </w:p>
    <w:p w14:paraId="1EFCD8E8" w14:textId="77777777" w:rsidR="00D111DC" w:rsidRDefault="00D111DC" w:rsidP="00B166B9">
      <w:pPr>
        <w:rPr>
          <w:sz w:val="24"/>
          <w:szCs w:val="24"/>
        </w:rPr>
      </w:pPr>
    </w:p>
    <w:p w14:paraId="6CD99FEA" w14:textId="626A3BA2" w:rsidR="0047147D" w:rsidRDefault="00DC78E8" w:rsidP="00BD1482">
      <w:pPr>
        <w:jc w:val="both"/>
        <w:rPr>
          <w:sz w:val="24"/>
          <w:szCs w:val="24"/>
        </w:rPr>
      </w:pPr>
      <w:r>
        <w:rPr>
          <w:sz w:val="24"/>
          <w:szCs w:val="24"/>
        </w:rPr>
        <w:t>Department of Health and Social Care</w:t>
      </w:r>
      <w:r w:rsidR="00906914">
        <w:rPr>
          <w:sz w:val="24"/>
          <w:szCs w:val="24"/>
        </w:rPr>
        <w:t xml:space="preserve"> (DHSC)</w:t>
      </w:r>
      <w:r w:rsidR="00D111DC">
        <w:rPr>
          <w:sz w:val="24"/>
          <w:szCs w:val="24"/>
        </w:rPr>
        <w:t xml:space="preserve"> have produced the attached communications pack</w:t>
      </w:r>
      <w:r w:rsidR="00DD510E">
        <w:rPr>
          <w:sz w:val="24"/>
          <w:szCs w:val="24"/>
        </w:rPr>
        <w:t xml:space="preserve"> </w:t>
      </w:r>
      <w:r w:rsidR="00906914">
        <w:rPr>
          <w:sz w:val="24"/>
          <w:szCs w:val="24"/>
        </w:rPr>
        <w:t>to support</w:t>
      </w:r>
      <w:r w:rsidR="0031005C">
        <w:rPr>
          <w:sz w:val="24"/>
          <w:szCs w:val="24"/>
        </w:rPr>
        <w:t xml:space="preserve"> </w:t>
      </w:r>
      <w:r w:rsidR="000B6898">
        <w:rPr>
          <w:sz w:val="24"/>
          <w:szCs w:val="24"/>
        </w:rPr>
        <w:t xml:space="preserve">workplaces with </w:t>
      </w:r>
      <w:r w:rsidR="0031005C">
        <w:rPr>
          <w:sz w:val="24"/>
          <w:szCs w:val="24"/>
        </w:rPr>
        <w:t>useful information w</w:t>
      </w:r>
      <w:r w:rsidR="00DD510E">
        <w:rPr>
          <w:sz w:val="24"/>
          <w:szCs w:val="24"/>
        </w:rPr>
        <w:t xml:space="preserve">hich </w:t>
      </w:r>
      <w:r w:rsidR="0031005C">
        <w:rPr>
          <w:sz w:val="24"/>
          <w:szCs w:val="24"/>
        </w:rPr>
        <w:t xml:space="preserve">establishments may find useful in the event </w:t>
      </w:r>
      <w:r w:rsidR="00FF2979">
        <w:rPr>
          <w:sz w:val="24"/>
          <w:szCs w:val="24"/>
        </w:rPr>
        <w:t xml:space="preserve">of </w:t>
      </w:r>
      <w:proofErr w:type="spellStart"/>
      <w:r w:rsidR="00FF2979">
        <w:rPr>
          <w:sz w:val="24"/>
          <w:szCs w:val="24"/>
        </w:rPr>
        <w:t>VoC</w:t>
      </w:r>
      <w:proofErr w:type="spellEnd"/>
      <w:r w:rsidR="00FF2979">
        <w:rPr>
          <w:sz w:val="24"/>
          <w:szCs w:val="24"/>
        </w:rPr>
        <w:t xml:space="preserve"> being detecte</w:t>
      </w:r>
      <w:r w:rsidR="008C01BF">
        <w:rPr>
          <w:sz w:val="24"/>
          <w:szCs w:val="24"/>
        </w:rPr>
        <w:t>d in the local area</w:t>
      </w:r>
      <w:r w:rsidR="00D111DC">
        <w:rPr>
          <w:sz w:val="24"/>
          <w:szCs w:val="24"/>
        </w:rPr>
        <w:t>. The pack provides:</w:t>
      </w:r>
    </w:p>
    <w:p w14:paraId="429DD43F" w14:textId="77777777" w:rsidR="00D3549F" w:rsidRDefault="00D3549F" w:rsidP="00D3549F">
      <w:pPr>
        <w:pStyle w:val="Default"/>
      </w:pPr>
    </w:p>
    <w:p w14:paraId="3BE44C8E" w14:textId="4A00BB5A" w:rsidR="00D3549F" w:rsidRPr="00D111DC" w:rsidRDefault="00D3549F" w:rsidP="00D111DC">
      <w:pPr>
        <w:pStyle w:val="Default"/>
        <w:numPr>
          <w:ilvl w:val="0"/>
          <w:numId w:val="4"/>
        </w:numPr>
        <w:spacing w:after="32"/>
        <w:rPr>
          <w:rFonts w:asciiTheme="minorHAnsi" w:hAnsiTheme="minorHAnsi" w:cstheme="minorHAnsi"/>
        </w:rPr>
      </w:pPr>
      <w:r w:rsidRPr="00D111DC">
        <w:rPr>
          <w:rFonts w:asciiTheme="minorHAnsi" w:hAnsiTheme="minorHAnsi" w:cstheme="minorHAnsi"/>
        </w:rPr>
        <w:t>Detailed background on the approaches taken both nationally and locally to suppress the spread of variants of concern</w:t>
      </w:r>
      <w:r w:rsidR="00AB0C50">
        <w:rPr>
          <w:rFonts w:asciiTheme="minorHAnsi" w:hAnsiTheme="minorHAnsi" w:cstheme="minorHAnsi"/>
        </w:rPr>
        <w:t xml:space="preserve">, including </w:t>
      </w:r>
      <w:r w:rsidR="00174471">
        <w:rPr>
          <w:rFonts w:asciiTheme="minorHAnsi" w:hAnsiTheme="minorHAnsi" w:cstheme="minorHAnsi"/>
        </w:rPr>
        <w:t xml:space="preserve">the use of </w:t>
      </w:r>
      <w:r w:rsidR="00AB0C50">
        <w:rPr>
          <w:rFonts w:asciiTheme="minorHAnsi" w:hAnsiTheme="minorHAnsi" w:cstheme="minorHAnsi"/>
        </w:rPr>
        <w:t>surge testing</w:t>
      </w:r>
      <w:r w:rsidRPr="00D111DC">
        <w:rPr>
          <w:rFonts w:asciiTheme="minorHAnsi" w:hAnsiTheme="minorHAnsi" w:cstheme="minorHAnsi"/>
        </w:rPr>
        <w:t>;</w:t>
      </w:r>
    </w:p>
    <w:p w14:paraId="4059AAFE" w14:textId="63C8A805" w:rsidR="00D3549F" w:rsidRPr="00D111DC" w:rsidRDefault="00D3549F" w:rsidP="00D111DC">
      <w:pPr>
        <w:pStyle w:val="Default"/>
        <w:numPr>
          <w:ilvl w:val="0"/>
          <w:numId w:val="4"/>
        </w:numPr>
        <w:spacing w:after="32"/>
        <w:rPr>
          <w:rFonts w:asciiTheme="minorHAnsi" w:hAnsiTheme="minorHAnsi" w:cstheme="minorHAnsi"/>
        </w:rPr>
      </w:pPr>
      <w:r w:rsidRPr="00D111DC">
        <w:rPr>
          <w:rFonts w:asciiTheme="minorHAnsi" w:hAnsiTheme="minorHAnsi" w:cstheme="minorHAnsi"/>
        </w:rPr>
        <w:t>Examples of communications content for workplaces t</w:t>
      </w:r>
      <w:r w:rsidR="00D111DC">
        <w:rPr>
          <w:rFonts w:asciiTheme="minorHAnsi" w:hAnsiTheme="minorHAnsi" w:cstheme="minorHAnsi"/>
        </w:rPr>
        <w:t xml:space="preserve">hat you may wish to </w:t>
      </w:r>
      <w:r w:rsidR="000C5D9B">
        <w:rPr>
          <w:rFonts w:asciiTheme="minorHAnsi" w:hAnsiTheme="minorHAnsi" w:cstheme="minorHAnsi"/>
        </w:rPr>
        <w:t xml:space="preserve">adapt in the event of a </w:t>
      </w:r>
      <w:proofErr w:type="spellStart"/>
      <w:r w:rsidR="000C5D9B">
        <w:rPr>
          <w:rFonts w:asciiTheme="minorHAnsi" w:hAnsiTheme="minorHAnsi" w:cstheme="minorHAnsi"/>
        </w:rPr>
        <w:t>VoC</w:t>
      </w:r>
      <w:proofErr w:type="spellEnd"/>
      <w:r w:rsidR="000C5D9B">
        <w:rPr>
          <w:rFonts w:asciiTheme="minorHAnsi" w:hAnsiTheme="minorHAnsi" w:cstheme="minorHAnsi"/>
        </w:rPr>
        <w:t xml:space="preserve"> being identified in your area</w:t>
      </w:r>
      <w:r w:rsidRPr="00D111DC">
        <w:rPr>
          <w:rFonts w:asciiTheme="minorHAnsi" w:hAnsiTheme="minorHAnsi" w:cstheme="minorHAnsi"/>
        </w:rPr>
        <w:t>;</w:t>
      </w:r>
    </w:p>
    <w:p w14:paraId="5DB70B5E" w14:textId="1D15B014" w:rsidR="0047147D" w:rsidRPr="00560001" w:rsidRDefault="00D3549F" w:rsidP="00B166B9">
      <w:pPr>
        <w:pStyle w:val="Default"/>
        <w:numPr>
          <w:ilvl w:val="0"/>
          <w:numId w:val="4"/>
        </w:numPr>
        <w:rPr>
          <w:rFonts w:asciiTheme="minorHAnsi" w:hAnsiTheme="minorHAnsi" w:cstheme="minorHAnsi"/>
        </w:rPr>
      </w:pPr>
      <w:r w:rsidRPr="00D111DC">
        <w:rPr>
          <w:rFonts w:asciiTheme="minorHAnsi" w:hAnsiTheme="minorHAnsi" w:cstheme="minorHAnsi"/>
        </w:rPr>
        <w:t>Key messages to include in</w:t>
      </w:r>
      <w:r w:rsidR="000C5D9B">
        <w:rPr>
          <w:rFonts w:asciiTheme="minorHAnsi" w:hAnsiTheme="minorHAnsi" w:cstheme="minorHAnsi"/>
        </w:rPr>
        <w:t xml:space="preserve"> any</w:t>
      </w:r>
      <w:r w:rsidRPr="00D111DC">
        <w:rPr>
          <w:rFonts w:asciiTheme="minorHAnsi" w:hAnsiTheme="minorHAnsi" w:cstheme="minorHAnsi"/>
        </w:rPr>
        <w:t xml:space="preserve"> internal communications</w:t>
      </w:r>
      <w:r w:rsidR="00174471">
        <w:rPr>
          <w:rFonts w:asciiTheme="minorHAnsi" w:hAnsiTheme="minorHAnsi" w:cstheme="minorHAnsi"/>
        </w:rPr>
        <w:t>.</w:t>
      </w:r>
    </w:p>
    <w:p w14:paraId="7A50B46E" w14:textId="0526E796" w:rsidR="002B79E2" w:rsidRDefault="002B79E2" w:rsidP="00B166B9">
      <w:pPr>
        <w:rPr>
          <w:sz w:val="24"/>
          <w:szCs w:val="24"/>
        </w:rPr>
      </w:pPr>
    </w:p>
    <w:p w14:paraId="408F1047" w14:textId="60AE5622" w:rsidR="002B79E2" w:rsidRDefault="00094370" w:rsidP="00B166B9">
      <w:r>
        <w:object w:dxaOrig="1175" w:dyaOrig="760" w14:anchorId="04067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8.25pt" o:ole="">
            <v:imagedata r:id="rId8" o:title=""/>
          </v:shape>
          <o:OLEObject Type="Embed" ProgID="AcroExch.Document.DC" ShapeID="_x0000_i1025" DrawAspect="Icon" ObjectID="_1683485052" r:id="rId9"/>
        </w:object>
      </w:r>
    </w:p>
    <w:p w14:paraId="11E4630B" w14:textId="01B85233" w:rsidR="00C00059" w:rsidRDefault="00C00059" w:rsidP="00B166B9">
      <w:pPr>
        <w:rPr>
          <w:sz w:val="24"/>
          <w:szCs w:val="24"/>
        </w:rPr>
      </w:pPr>
    </w:p>
    <w:p w14:paraId="31703E99" w14:textId="47A236FD" w:rsidR="00F168B6" w:rsidRDefault="00B37AF5" w:rsidP="00B37AF5">
      <w:pPr>
        <w:rPr>
          <w:sz w:val="24"/>
          <w:szCs w:val="24"/>
        </w:rPr>
      </w:pPr>
      <w:r>
        <w:rPr>
          <w:sz w:val="24"/>
          <w:szCs w:val="24"/>
        </w:rPr>
        <w:t xml:space="preserve">This is </w:t>
      </w:r>
      <w:r w:rsidR="007C34EE">
        <w:rPr>
          <w:sz w:val="24"/>
          <w:szCs w:val="24"/>
        </w:rPr>
        <w:t xml:space="preserve">of course </w:t>
      </w:r>
      <w:r>
        <w:rPr>
          <w:sz w:val="24"/>
          <w:szCs w:val="24"/>
        </w:rPr>
        <w:t xml:space="preserve">a dynamic </w:t>
      </w:r>
      <w:r w:rsidR="00094370">
        <w:rPr>
          <w:sz w:val="24"/>
          <w:szCs w:val="24"/>
        </w:rPr>
        <w:t>situation,</w:t>
      </w:r>
      <w:r>
        <w:rPr>
          <w:sz w:val="24"/>
          <w:szCs w:val="24"/>
        </w:rPr>
        <w:t xml:space="preserve"> but we are aware at this time that </w:t>
      </w:r>
      <w:r w:rsidR="00ED4DD7">
        <w:rPr>
          <w:sz w:val="24"/>
          <w:szCs w:val="24"/>
        </w:rPr>
        <w:t xml:space="preserve">the </w:t>
      </w:r>
      <w:r>
        <w:rPr>
          <w:sz w:val="24"/>
          <w:szCs w:val="24"/>
        </w:rPr>
        <w:t xml:space="preserve">higher risk areas </w:t>
      </w:r>
      <w:r w:rsidR="007C34EE">
        <w:rPr>
          <w:sz w:val="24"/>
          <w:szCs w:val="24"/>
        </w:rPr>
        <w:t xml:space="preserve">identified </w:t>
      </w:r>
      <w:r>
        <w:rPr>
          <w:sz w:val="24"/>
          <w:szCs w:val="24"/>
        </w:rPr>
        <w:t xml:space="preserve">are: </w:t>
      </w:r>
    </w:p>
    <w:p w14:paraId="3E482064" w14:textId="7CDA62FC" w:rsidR="00A219CB" w:rsidRPr="00F168B6" w:rsidRDefault="00A219CB" w:rsidP="001F6269">
      <w:pPr>
        <w:pStyle w:val="ListParagraph"/>
      </w:pPr>
    </w:p>
    <w:tbl>
      <w:tblPr>
        <w:tblStyle w:val="TableGrid"/>
        <w:tblW w:w="0" w:type="auto"/>
        <w:tblInd w:w="720" w:type="dxa"/>
        <w:tblLook w:val="04A0" w:firstRow="1" w:lastRow="0" w:firstColumn="1" w:lastColumn="0" w:noHBand="0" w:noVBand="1"/>
      </w:tblPr>
      <w:tblGrid>
        <w:gridCol w:w="4148"/>
        <w:gridCol w:w="4148"/>
      </w:tblGrid>
      <w:tr w:rsidR="00A219CB" w14:paraId="77CECFB5" w14:textId="77777777" w:rsidTr="00A219CB">
        <w:tc>
          <w:tcPr>
            <w:tcW w:w="4508" w:type="dxa"/>
          </w:tcPr>
          <w:p w14:paraId="3D6A30D1" w14:textId="3BFF3207" w:rsidR="00A219CB" w:rsidRDefault="00A219CB" w:rsidP="00F168B6">
            <w:pPr>
              <w:pStyle w:val="ListParagraph"/>
              <w:numPr>
                <w:ilvl w:val="0"/>
                <w:numId w:val="3"/>
              </w:numPr>
              <w:ind w:left="0" w:firstLine="0"/>
            </w:pPr>
            <w:r>
              <w:t>Bolton</w:t>
            </w:r>
          </w:p>
        </w:tc>
        <w:tc>
          <w:tcPr>
            <w:tcW w:w="4508" w:type="dxa"/>
          </w:tcPr>
          <w:p w14:paraId="2DDFA522" w14:textId="2F3BA445" w:rsidR="00A219CB" w:rsidRDefault="001F6269" w:rsidP="00F168B6">
            <w:pPr>
              <w:pStyle w:val="ListParagraph"/>
              <w:numPr>
                <w:ilvl w:val="0"/>
                <w:numId w:val="3"/>
              </w:numPr>
              <w:ind w:left="0" w:firstLine="0"/>
            </w:pPr>
            <w:r>
              <w:t>Burnley</w:t>
            </w:r>
          </w:p>
        </w:tc>
      </w:tr>
      <w:tr w:rsidR="00A219CB" w14:paraId="029D3E95" w14:textId="77777777" w:rsidTr="00A219CB">
        <w:tc>
          <w:tcPr>
            <w:tcW w:w="4508" w:type="dxa"/>
          </w:tcPr>
          <w:p w14:paraId="54034219" w14:textId="6C0A1D3B" w:rsidR="00A219CB" w:rsidRDefault="00A219CB" w:rsidP="00F168B6">
            <w:pPr>
              <w:pStyle w:val="ListParagraph"/>
              <w:numPr>
                <w:ilvl w:val="0"/>
                <w:numId w:val="3"/>
              </w:numPr>
              <w:ind w:left="0" w:firstLine="0"/>
            </w:pPr>
            <w:r>
              <w:t>Blackburn with Darw</w:t>
            </w:r>
            <w:r w:rsidR="001F6269">
              <w:t>e</w:t>
            </w:r>
            <w:r>
              <w:t>n</w:t>
            </w:r>
          </w:p>
        </w:tc>
        <w:tc>
          <w:tcPr>
            <w:tcW w:w="4508" w:type="dxa"/>
          </w:tcPr>
          <w:p w14:paraId="1C0B8FED" w14:textId="79A755D3" w:rsidR="00A219CB" w:rsidRDefault="001F6269" w:rsidP="00F168B6">
            <w:pPr>
              <w:pStyle w:val="ListParagraph"/>
              <w:numPr>
                <w:ilvl w:val="0"/>
                <w:numId w:val="3"/>
              </w:numPr>
              <w:ind w:left="0" w:firstLine="0"/>
            </w:pPr>
            <w:r>
              <w:t>Leicester</w:t>
            </w:r>
          </w:p>
        </w:tc>
      </w:tr>
      <w:tr w:rsidR="00A219CB" w14:paraId="1842A59E" w14:textId="77777777" w:rsidTr="00A219CB">
        <w:tc>
          <w:tcPr>
            <w:tcW w:w="4508" w:type="dxa"/>
          </w:tcPr>
          <w:p w14:paraId="6576988B" w14:textId="2D748577" w:rsidR="00A219CB" w:rsidRDefault="001F6269" w:rsidP="00F168B6">
            <w:pPr>
              <w:pStyle w:val="ListParagraph"/>
              <w:numPr>
                <w:ilvl w:val="0"/>
                <w:numId w:val="3"/>
              </w:numPr>
              <w:ind w:left="0" w:firstLine="0"/>
            </w:pPr>
            <w:r>
              <w:t>Kirklees</w:t>
            </w:r>
          </w:p>
        </w:tc>
        <w:tc>
          <w:tcPr>
            <w:tcW w:w="4508" w:type="dxa"/>
          </w:tcPr>
          <w:p w14:paraId="11C6F21B" w14:textId="4E521B30" w:rsidR="00A219CB" w:rsidRDefault="001F6269" w:rsidP="00F168B6">
            <w:pPr>
              <w:pStyle w:val="ListParagraph"/>
              <w:numPr>
                <w:ilvl w:val="0"/>
                <w:numId w:val="3"/>
              </w:numPr>
              <w:ind w:left="0" w:firstLine="0"/>
            </w:pPr>
            <w:r>
              <w:t>Hounslow</w:t>
            </w:r>
          </w:p>
        </w:tc>
      </w:tr>
      <w:tr w:rsidR="00A219CB" w14:paraId="354B3817" w14:textId="77777777" w:rsidTr="00A219CB">
        <w:tc>
          <w:tcPr>
            <w:tcW w:w="4508" w:type="dxa"/>
          </w:tcPr>
          <w:p w14:paraId="4FD84D87" w14:textId="49606FA9" w:rsidR="00A219CB" w:rsidRDefault="001F6269" w:rsidP="00F168B6">
            <w:pPr>
              <w:pStyle w:val="ListParagraph"/>
              <w:numPr>
                <w:ilvl w:val="0"/>
                <w:numId w:val="3"/>
              </w:numPr>
              <w:ind w:left="0" w:firstLine="0"/>
            </w:pPr>
            <w:r>
              <w:t>Bedford</w:t>
            </w:r>
          </w:p>
        </w:tc>
        <w:tc>
          <w:tcPr>
            <w:tcW w:w="4508" w:type="dxa"/>
          </w:tcPr>
          <w:p w14:paraId="3823178C" w14:textId="75A4FAB5" w:rsidR="00A219CB" w:rsidRDefault="001F6269" w:rsidP="00F168B6">
            <w:pPr>
              <w:pStyle w:val="ListParagraph"/>
              <w:numPr>
                <w:ilvl w:val="0"/>
                <w:numId w:val="3"/>
              </w:numPr>
              <w:ind w:left="0" w:firstLine="0"/>
            </w:pPr>
            <w:r>
              <w:t>North Tyneside</w:t>
            </w:r>
          </w:p>
        </w:tc>
      </w:tr>
    </w:tbl>
    <w:p w14:paraId="173620A8" w14:textId="77777777" w:rsidR="00C00059" w:rsidRDefault="00C00059" w:rsidP="00B166B9">
      <w:pPr>
        <w:rPr>
          <w:sz w:val="24"/>
          <w:szCs w:val="24"/>
        </w:rPr>
      </w:pPr>
    </w:p>
    <w:p w14:paraId="669812C1" w14:textId="3AD910B0" w:rsidR="007B778C" w:rsidRDefault="00560001" w:rsidP="00B166B9">
      <w:pPr>
        <w:rPr>
          <w:sz w:val="24"/>
          <w:szCs w:val="24"/>
        </w:rPr>
      </w:pPr>
      <w:r>
        <w:rPr>
          <w:sz w:val="24"/>
          <w:szCs w:val="24"/>
        </w:rPr>
        <w:lastRenderedPageBreak/>
        <w:t xml:space="preserve">While these </w:t>
      </w:r>
      <w:r w:rsidR="00B039BC">
        <w:rPr>
          <w:sz w:val="24"/>
          <w:szCs w:val="24"/>
        </w:rPr>
        <w:t xml:space="preserve">areas are </w:t>
      </w:r>
      <w:r w:rsidR="001F1DD3">
        <w:rPr>
          <w:sz w:val="24"/>
          <w:szCs w:val="24"/>
        </w:rPr>
        <w:t xml:space="preserve">all </w:t>
      </w:r>
      <w:r w:rsidR="00B039BC">
        <w:rPr>
          <w:sz w:val="24"/>
          <w:szCs w:val="24"/>
        </w:rPr>
        <w:t xml:space="preserve">in England and the DHSC pack is </w:t>
      </w:r>
      <w:r w:rsidR="00A32C85">
        <w:rPr>
          <w:sz w:val="24"/>
          <w:szCs w:val="24"/>
        </w:rPr>
        <w:t xml:space="preserve">similarly focussed, </w:t>
      </w:r>
      <w:r w:rsidR="007B778C">
        <w:rPr>
          <w:sz w:val="24"/>
          <w:szCs w:val="24"/>
        </w:rPr>
        <w:t xml:space="preserve">some of </w:t>
      </w:r>
      <w:r w:rsidR="00A32C85">
        <w:rPr>
          <w:sz w:val="24"/>
          <w:szCs w:val="24"/>
        </w:rPr>
        <w:t xml:space="preserve">the </w:t>
      </w:r>
      <w:r w:rsidR="0084254C">
        <w:rPr>
          <w:sz w:val="24"/>
          <w:szCs w:val="24"/>
        </w:rPr>
        <w:t>information provided w</w:t>
      </w:r>
      <w:r w:rsidR="007B778C">
        <w:rPr>
          <w:sz w:val="24"/>
          <w:szCs w:val="24"/>
        </w:rPr>
        <w:t xml:space="preserve">ill be of interest to colleagues at Welsh prisons. </w:t>
      </w:r>
    </w:p>
    <w:p w14:paraId="72E0B509" w14:textId="77777777" w:rsidR="007B778C" w:rsidRDefault="007B778C" w:rsidP="00B166B9">
      <w:pPr>
        <w:rPr>
          <w:sz w:val="24"/>
          <w:szCs w:val="24"/>
        </w:rPr>
      </w:pPr>
    </w:p>
    <w:p w14:paraId="0273C46A" w14:textId="1178A305" w:rsidR="00B67E4E" w:rsidRDefault="0094236D" w:rsidP="00B67E4E">
      <w:pPr>
        <w:jc w:val="both"/>
        <w:rPr>
          <w:sz w:val="24"/>
          <w:szCs w:val="24"/>
        </w:rPr>
      </w:pPr>
      <w:r>
        <w:rPr>
          <w:sz w:val="24"/>
          <w:szCs w:val="24"/>
        </w:rPr>
        <w:t xml:space="preserve">We will of course continue to monitor the </w:t>
      </w:r>
      <w:r w:rsidR="008F1FD8">
        <w:rPr>
          <w:sz w:val="24"/>
          <w:szCs w:val="24"/>
        </w:rPr>
        <w:t>situation</w:t>
      </w:r>
      <w:r>
        <w:rPr>
          <w:sz w:val="24"/>
          <w:szCs w:val="24"/>
        </w:rPr>
        <w:t xml:space="preserve"> centrally and provide </w:t>
      </w:r>
      <w:r w:rsidR="008F1FD8">
        <w:rPr>
          <w:sz w:val="24"/>
          <w:szCs w:val="24"/>
        </w:rPr>
        <w:t xml:space="preserve">further </w:t>
      </w:r>
      <w:r>
        <w:rPr>
          <w:sz w:val="24"/>
          <w:szCs w:val="24"/>
        </w:rPr>
        <w:t>updates whenever necessary</w:t>
      </w:r>
      <w:r w:rsidR="008F1FD8">
        <w:rPr>
          <w:sz w:val="24"/>
          <w:szCs w:val="24"/>
        </w:rPr>
        <w:t>. Useful information can also be found at the following sites</w:t>
      </w:r>
      <w:r w:rsidR="00B67E4E">
        <w:rPr>
          <w:sz w:val="24"/>
          <w:szCs w:val="24"/>
        </w:rPr>
        <w:t>:</w:t>
      </w:r>
    </w:p>
    <w:p w14:paraId="5C12B05C" w14:textId="77777777" w:rsidR="00B67E4E" w:rsidRDefault="00B67E4E" w:rsidP="00B67E4E">
      <w:pPr>
        <w:jc w:val="both"/>
        <w:rPr>
          <w:sz w:val="24"/>
          <w:szCs w:val="24"/>
        </w:rPr>
      </w:pPr>
    </w:p>
    <w:p w14:paraId="1989214F" w14:textId="33C9826A" w:rsidR="00CA7F88" w:rsidRPr="00094370" w:rsidRDefault="00CA7F88" w:rsidP="00B67E4E">
      <w:pPr>
        <w:jc w:val="both"/>
        <w:rPr>
          <w:sz w:val="24"/>
          <w:szCs w:val="24"/>
        </w:rPr>
      </w:pPr>
      <w:r>
        <w:rPr>
          <w:sz w:val="24"/>
          <w:szCs w:val="24"/>
        </w:rPr>
        <w:t xml:space="preserve">In </w:t>
      </w:r>
      <w:r w:rsidR="007D45CE">
        <w:rPr>
          <w:sz w:val="24"/>
          <w:szCs w:val="24"/>
        </w:rPr>
        <w:t>En</w:t>
      </w:r>
      <w:r w:rsidR="007D45CE" w:rsidRPr="00094370">
        <w:rPr>
          <w:sz w:val="24"/>
          <w:szCs w:val="24"/>
        </w:rPr>
        <w:t>gland</w:t>
      </w:r>
      <w:r w:rsidRPr="00094370">
        <w:rPr>
          <w:sz w:val="24"/>
          <w:szCs w:val="24"/>
        </w:rPr>
        <w:t>:</w:t>
      </w:r>
    </w:p>
    <w:p w14:paraId="1DCA6379" w14:textId="77777777" w:rsidR="00CA7F88" w:rsidRPr="00094370" w:rsidRDefault="008E2485" w:rsidP="00CA7F88">
      <w:pPr>
        <w:pStyle w:val="ListParagraph"/>
        <w:numPr>
          <w:ilvl w:val="0"/>
          <w:numId w:val="3"/>
        </w:numPr>
        <w:jc w:val="both"/>
        <w:rPr>
          <w:sz w:val="24"/>
          <w:szCs w:val="24"/>
        </w:rPr>
      </w:pPr>
      <w:hyperlink w:history="1">
        <w:r w:rsidR="00CA7F88" w:rsidRPr="00094370">
          <w:rPr>
            <w:rStyle w:val="Hyperlink"/>
            <w:sz w:val="24"/>
            <w:szCs w:val="24"/>
          </w:rPr>
          <w:t>(COVID-19) Coronavirus restrictions: what you can and cannot do - GOV.UK (www.gov.uk)</w:t>
        </w:r>
      </w:hyperlink>
    </w:p>
    <w:p w14:paraId="0294726F" w14:textId="2B11A47F" w:rsidR="00F453A2" w:rsidRPr="00094370" w:rsidRDefault="008E2485" w:rsidP="00CA7F88">
      <w:pPr>
        <w:pStyle w:val="ListParagraph"/>
        <w:numPr>
          <w:ilvl w:val="0"/>
          <w:numId w:val="3"/>
        </w:numPr>
        <w:jc w:val="both"/>
        <w:rPr>
          <w:sz w:val="24"/>
          <w:szCs w:val="24"/>
        </w:rPr>
      </w:pPr>
      <w:hyperlink w:history="1">
        <w:r w:rsidR="00CA7F88" w:rsidRPr="00094370">
          <w:rPr>
            <w:rStyle w:val="Hyperlink"/>
            <w:sz w:val="24"/>
            <w:szCs w:val="24"/>
          </w:rPr>
          <w:t>Surge testing for new coronavirus (COVID-19) variants - GOV.UK (www.gov.uk)</w:t>
        </w:r>
      </w:hyperlink>
    </w:p>
    <w:p w14:paraId="7501106D" w14:textId="03DF97A7" w:rsidR="00262CC6" w:rsidRPr="00094370" w:rsidRDefault="00CA7F88" w:rsidP="00B67E4E">
      <w:pPr>
        <w:rPr>
          <w:sz w:val="24"/>
          <w:szCs w:val="24"/>
        </w:rPr>
      </w:pPr>
      <w:r w:rsidRPr="00094370">
        <w:rPr>
          <w:sz w:val="24"/>
          <w:szCs w:val="24"/>
        </w:rPr>
        <w:t>In</w:t>
      </w:r>
      <w:r w:rsidR="00262CC6" w:rsidRPr="00094370">
        <w:rPr>
          <w:sz w:val="24"/>
          <w:szCs w:val="24"/>
        </w:rPr>
        <w:t xml:space="preserve"> Wales:</w:t>
      </w:r>
    </w:p>
    <w:p w14:paraId="1296C69F" w14:textId="21489C39" w:rsidR="003E460B" w:rsidRPr="00094370" w:rsidRDefault="008E2485" w:rsidP="00C51FA2">
      <w:pPr>
        <w:pStyle w:val="ListParagraph"/>
        <w:numPr>
          <w:ilvl w:val="0"/>
          <w:numId w:val="5"/>
        </w:numPr>
        <w:rPr>
          <w:sz w:val="24"/>
          <w:szCs w:val="24"/>
        </w:rPr>
      </w:pPr>
      <w:hyperlink r:id="rId10" w:history="1">
        <w:r w:rsidR="007D45CE" w:rsidRPr="00094370">
          <w:rPr>
            <w:rStyle w:val="Hyperlink"/>
            <w:sz w:val="24"/>
            <w:szCs w:val="24"/>
          </w:rPr>
          <w:t>https://gov.wales/alert-level-2</w:t>
        </w:r>
      </w:hyperlink>
    </w:p>
    <w:p w14:paraId="759901F7" w14:textId="5F8A8846" w:rsidR="0029395E" w:rsidRPr="00094370" w:rsidRDefault="008E2485" w:rsidP="00C51FA2">
      <w:pPr>
        <w:pStyle w:val="ListParagraph"/>
        <w:numPr>
          <w:ilvl w:val="0"/>
          <w:numId w:val="5"/>
        </w:numPr>
        <w:rPr>
          <w:sz w:val="24"/>
          <w:szCs w:val="24"/>
        </w:rPr>
      </w:pPr>
      <w:hyperlink r:id="rId11" w:history="1">
        <w:r w:rsidR="0029395E" w:rsidRPr="00094370">
          <w:rPr>
            <w:rStyle w:val="Hyperlink"/>
            <w:rFonts w:ascii="Arial" w:hAnsi="Arial" w:cs="Arial"/>
            <w:sz w:val="24"/>
            <w:szCs w:val="24"/>
            <w:lang w:eastAsia="en-US"/>
          </w:rPr>
          <w:t>COVID-19 Wales situational report: 20 May 2021 [HTML] | GOV.WALES</w:t>
        </w:r>
      </w:hyperlink>
    </w:p>
    <w:p w14:paraId="1C2F034D" w14:textId="77777777" w:rsidR="00F453A2" w:rsidRDefault="00F453A2" w:rsidP="00B166B9">
      <w:pPr>
        <w:rPr>
          <w:sz w:val="24"/>
          <w:szCs w:val="24"/>
        </w:rPr>
      </w:pPr>
    </w:p>
    <w:p w14:paraId="2E5B45A4" w14:textId="73A9864C" w:rsidR="001F1DD3" w:rsidRPr="00473554" w:rsidRDefault="00E86585" w:rsidP="001F1DD3">
      <w:pPr>
        <w:pStyle w:val="ListParagraph"/>
        <w:numPr>
          <w:ilvl w:val="0"/>
          <w:numId w:val="8"/>
        </w:numPr>
        <w:rPr>
          <w:sz w:val="24"/>
          <w:szCs w:val="24"/>
          <w:u w:val="single"/>
        </w:rPr>
      </w:pPr>
      <w:r w:rsidRPr="00E86585">
        <w:rPr>
          <w:sz w:val="24"/>
          <w:szCs w:val="24"/>
          <w:u w:val="single"/>
        </w:rPr>
        <w:t>Implications for regime activities</w:t>
      </w:r>
    </w:p>
    <w:p w14:paraId="2E8C14C6" w14:textId="1C8AFB3C" w:rsidR="00B166B9" w:rsidRDefault="00B166B9" w:rsidP="00B166B9">
      <w:pPr>
        <w:rPr>
          <w:sz w:val="24"/>
          <w:szCs w:val="24"/>
        </w:rPr>
      </w:pPr>
    </w:p>
    <w:p w14:paraId="4C72F066" w14:textId="2B11EB81" w:rsidR="00E86585" w:rsidRPr="00094370" w:rsidRDefault="00E86585" w:rsidP="00B166B9">
      <w:pPr>
        <w:pStyle w:val="ListParagraph"/>
        <w:numPr>
          <w:ilvl w:val="0"/>
          <w:numId w:val="6"/>
        </w:numPr>
        <w:rPr>
          <w:b/>
          <w:bCs/>
          <w:sz w:val="24"/>
          <w:szCs w:val="24"/>
        </w:rPr>
      </w:pPr>
      <w:r w:rsidRPr="00094370">
        <w:rPr>
          <w:b/>
          <w:bCs/>
          <w:sz w:val="24"/>
          <w:szCs w:val="24"/>
        </w:rPr>
        <w:t>ROTL</w:t>
      </w:r>
    </w:p>
    <w:p w14:paraId="017DB95A" w14:textId="359EF790" w:rsidR="00B166B9" w:rsidRDefault="00B166B9" w:rsidP="00473554">
      <w:pPr>
        <w:ind w:left="360"/>
        <w:jc w:val="both"/>
        <w:rPr>
          <w:sz w:val="24"/>
          <w:szCs w:val="24"/>
        </w:rPr>
      </w:pPr>
      <w:r>
        <w:rPr>
          <w:sz w:val="24"/>
          <w:szCs w:val="24"/>
        </w:rPr>
        <w:t>In undertaking risk assessments for ROTL the Governor must consider the COVID risk as part of the wider risk assessment.  We know that there is increased risk in several areas across the country and Government has issued guidance that encourages people to stay local and reduce contact. </w:t>
      </w:r>
    </w:p>
    <w:p w14:paraId="4F3C5835" w14:textId="77777777" w:rsidR="00B166B9" w:rsidRDefault="00B166B9" w:rsidP="00473554">
      <w:pPr>
        <w:ind w:left="360"/>
        <w:jc w:val="both"/>
        <w:rPr>
          <w:sz w:val="24"/>
          <w:szCs w:val="24"/>
        </w:rPr>
      </w:pPr>
    </w:p>
    <w:p w14:paraId="5910D108" w14:textId="3D900F7F" w:rsidR="00B166B9" w:rsidRDefault="00B166B9" w:rsidP="00473554">
      <w:pPr>
        <w:ind w:left="360"/>
        <w:jc w:val="both"/>
        <w:rPr>
          <w:sz w:val="24"/>
          <w:szCs w:val="24"/>
        </w:rPr>
      </w:pPr>
      <w:r>
        <w:rPr>
          <w:sz w:val="24"/>
          <w:szCs w:val="24"/>
        </w:rPr>
        <w:t xml:space="preserve">We therefore ask that this guidance is considered in any risk assessment planned to take place in any of these areas of concern, notably Resettlement overnight Release [ROR/ Overnight CRL], as well as any domestic Resettlement Day Release [RDR/ day CRL] to any private address. </w:t>
      </w:r>
      <w:r w:rsidR="002C57B4">
        <w:rPr>
          <w:sz w:val="24"/>
          <w:szCs w:val="24"/>
        </w:rPr>
        <w:t xml:space="preserve">The risk presented may prevent this form of ROTL at this time, notably if surge testing is underway in the area at present a release would run counter to the public health objectives in the area to control the spread of the </w:t>
      </w:r>
      <w:proofErr w:type="spellStart"/>
      <w:r w:rsidR="002C57B4">
        <w:rPr>
          <w:sz w:val="24"/>
          <w:szCs w:val="24"/>
        </w:rPr>
        <w:t>VoC.</w:t>
      </w:r>
      <w:proofErr w:type="spellEnd"/>
      <w:r w:rsidR="002C57B4">
        <w:rPr>
          <w:sz w:val="24"/>
          <w:szCs w:val="24"/>
        </w:rPr>
        <w:t xml:space="preserve">  </w:t>
      </w:r>
      <w:r>
        <w:rPr>
          <w:sz w:val="24"/>
          <w:szCs w:val="24"/>
        </w:rPr>
        <w:t>Governors may</w:t>
      </w:r>
      <w:r w:rsidR="002C57B4">
        <w:rPr>
          <w:sz w:val="24"/>
          <w:szCs w:val="24"/>
        </w:rPr>
        <w:t xml:space="preserve"> therefore</w:t>
      </w:r>
      <w:r>
        <w:rPr>
          <w:sz w:val="24"/>
          <w:szCs w:val="24"/>
        </w:rPr>
        <w:t xml:space="preserve"> wish to- </w:t>
      </w:r>
    </w:p>
    <w:p w14:paraId="752FF4CC" w14:textId="08C6AE59" w:rsidR="00B166B9" w:rsidRDefault="00B166B9" w:rsidP="00473554">
      <w:pPr>
        <w:pStyle w:val="ListParagraph"/>
        <w:numPr>
          <w:ilvl w:val="0"/>
          <w:numId w:val="1"/>
        </w:numPr>
        <w:ind w:left="1440"/>
        <w:jc w:val="both"/>
        <w:rPr>
          <w:rFonts w:eastAsia="Times New Roman"/>
          <w:sz w:val="24"/>
          <w:szCs w:val="24"/>
        </w:rPr>
      </w:pPr>
      <w:r>
        <w:rPr>
          <w:rFonts w:eastAsia="Times New Roman"/>
          <w:sz w:val="24"/>
          <w:szCs w:val="24"/>
        </w:rPr>
        <w:t>Permit the activity as per the original decision</w:t>
      </w:r>
      <w:r w:rsidR="002C57B4">
        <w:rPr>
          <w:rFonts w:eastAsia="Times New Roman"/>
          <w:sz w:val="24"/>
          <w:szCs w:val="24"/>
        </w:rPr>
        <w:t xml:space="preserve"> if the circumstances warrant this exception;</w:t>
      </w:r>
    </w:p>
    <w:p w14:paraId="4BCF2E98" w14:textId="5D601DC7" w:rsidR="00B166B9" w:rsidRDefault="00B166B9" w:rsidP="00473554">
      <w:pPr>
        <w:pStyle w:val="ListParagraph"/>
        <w:numPr>
          <w:ilvl w:val="0"/>
          <w:numId w:val="1"/>
        </w:numPr>
        <w:ind w:left="1440"/>
        <w:jc w:val="both"/>
        <w:rPr>
          <w:rFonts w:eastAsia="Times New Roman"/>
          <w:sz w:val="24"/>
          <w:szCs w:val="24"/>
        </w:rPr>
      </w:pPr>
      <w:r>
        <w:rPr>
          <w:rFonts w:eastAsia="Times New Roman"/>
          <w:sz w:val="24"/>
          <w:szCs w:val="24"/>
        </w:rPr>
        <w:t xml:space="preserve">Amend </w:t>
      </w:r>
      <w:r w:rsidR="002C57B4">
        <w:rPr>
          <w:rFonts w:eastAsia="Times New Roman"/>
          <w:sz w:val="24"/>
          <w:szCs w:val="24"/>
        </w:rPr>
        <w:t xml:space="preserve">the ROTL </w:t>
      </w:r>
      <w:r>
        <w:rPr>
          <w:rFonts w:eastAsia="Times New Roman"/>
          <w:sz w:val="24"/>
          <w:szCs w:val="24"/>
        </w:rPr>
        <w:t xml:space="preserve">to </w:t>
      </w:r>
      <w:r w:rsidR="002C57B4">
        <w:rPr>
          <w:rFonts w:eastAsia="Times New Roman"/>
          <w:sz w:val="24"/>
          <w:szCs w:val="24"/>
        </w:rPr>
        <w:t xml:space="preserve">the </w:t>
      </w:r>
      <w:r>
        <w:rPr>
          <w:rFonts w:eastAsia="Times New Roman"/>
          <w:sz w:val="24"/>
          <w:szCs w:val="24"/>
        </w:rPr>
        <w:t xml:space="preserve">local </w:t>
      </w:r>
      <w:r w:rsidR="002C57B4">
        <w:rPr>
          <w:rFonts w:eastAsia="Times New Roman"/>
          <w:sz w:val="24"/>
          <w:szCs w:val="24"/>
        </w:rPr>
        <w:t xml:space="preserve">area </w:t>
      </w:r>
      <w:r>
        <w:rPr>
          <w:rFonts w:eastAsia="Times New Roman"/>
          <w:sz w:val="24"/>
          <w:szCs w:val="24"/>
        </w:rPr>
        <w:t>RDR/CRL [subject to suitable notifications being completed] </w:t>
      </w:r>
      <w:r w:rsidR="002C57B4">
        <w:rPr>
          <w:rFonts w:eastAsia="Times New Roman"/>
          <w:sz w:val="24"/>
          <w:szCs w:val="24"/>
        </w:rPr>
        <w:t>(it is worth noting guidance that outdoor contact is lower risk); or</w:t>
      </w:r>
    </w:p>
    <w:p w14:paraId="663B5A0E" w14:textId="2C5975C2" w:rsidR="00B166B9" w:rsidRDefault="00B166B9" w:rsidP="00473554">
      <w:pPr>
        <w:pStyle w:val="ListParagraph"/>
        <w:numPr>
          <w:ilvl w:val="0"/>
          <w:numId w:val="1"/>
        </w:numPr>
        <w:ind w:left="1440"/>
        <w:jc w:val="both"/>
        <w:rPr>
          <w:rFonts w:eastAsia="Times New Roman"/>
          <w:sz w:val="24"/>
          <w:szCs w:val="24"/>
        </w:rPr>
      </w:pPr>
      <w:r>
        <w:rPr>
          <w:rFonts w:eastAsia="Times New Roman"/>
          <w:sz w:val="24"/>
          <w:szCs w:val="24"/>
        </w:rPr>
        <w:t xml:space="preserve">Suspend </w:t>
      </w:r>
      <w:r w:rsidR="002C57B4">
        <w:rPr>
          <w:rFonts w:eastAsia="Times New Roman"/>
          <w:sz w:val="24"/>
          <w:szCs w:val="24"/>
        </w:rPr>
        <w:t xml:space="preserve">the </w:t>
      </w:r>
      <w:r>
        <w:rPr>
          <w:rFonts w:eastAsia="Times New Roman"/>
          <w:sz w:val="24"/>
          <w:szCs w:val="24"/>
        </w:rPr>
        <w:t xml:space="preserve">proposed ROTL until </w:t>
      </w:r>
      <w:r w:rsidR="002C57B4">
        <w:rPr>
          <w:rFonts w:eastAsia="Times New Roman"/>
          <w:sz w:val="24"/>
          <w:szCs w:val="24"/>
        </w:rPr>
        <w:t xml:space="preserve">the </w:t>
      </w:r>
      <w:r>
        <w:rPr>
          <w:rFonts w:eastAsia="Times New Roman"/>
          <w:sz w:val="24"/>
          <w:szCs w:val="24"/>
        </w:rPr>
        <w:t>risk is reduced in that area.</w:t>
      </w:r>
    </w:p>
    <w:p w14:paraId="0DFAA6F4" w14:textId="77777777" w:rsidR="00B166B9" w:rsidRDefault="00B166B9" w:rsidP="00473554">
      <w:pPr>
        <w:ind w:left="360"/>
        <w:jc w:val="both"/>
        <w:rPr>
          <w:sz w:val="24"/>
          <w:szCs w:val="24"/>
        </w:rPr>
      </w:pPr>
    </w:p>
    <w:p w14:paraId="2AA32F01" w14:textId="55B880D9" w:rsidR="00B166B9" w:rsidRPr="00697F02" w:rsidRDefault="00B166B9" w:rsidP="00473554">
      <w:pPr>
        <w:ind w:left="360"/>
        <w:jc w:val="both"/>
        <w:rPr>
          <w:i/>
          <w:iCs/>
        </w:rPr>
      </w:pPr>
      <w:r>
        <w:rPr>
          <w:sz w:val="24"/>
          <w:szCs w:val="24"/>
        </w:rPr>
        <w:t xml:space="preserve">Release to a domestic setting is considered higher risk than a Covid secure workplace </w:t>
      </w:r>
      <w:r w:rsidR="002C57B4">
        <w:rPr>
          <w:sz w:val="24"/>
          <w:szCs w:val="24"/>
        </w:rPr>
        <w:t xml:space="preserve">or other controlled setting (hospital, college etc) </w:t>
      </w:r>
      <w:r>
        <w:rPr>
          <w:sz w:val="24"/>
          <w:szCs w:val="24"/>
        </w:rPr>
        <w:t xml:space="preserve">therefore </w:t>
      </w:r>
      <w:r w:rsidR="002C57B4">
        <w:rPr>
          <w:sz w:val="24"/>
          <w:szCs w:val="24"/>
        </w:rPr>
        <w:t>it may be appropriate that these types of</w:t>
      </w:r>
      <w:r>
        <w:rPr>
          <w:sz w:val="24"/>
          <w:szCs w:val="24"/>
        </w:rPr>
        <w:t xml:space="preserve"> ROTL continue</w:t>
      </w:r>
      <w:r w:rsidR="002C57B4">
        <w:rPr>
          <w:sz w:val="24"/>
          <w:szCs w:val="24"/>
        </w:rPr>
        <w:t>, subject to risk assessment</w:t>
      </w:r>
      <w:r>
        <w:rPr>
          <w:sz w:val="24"/>
          <w:szCs w:val="24"/>
        </w:rPr>
        <w:t>. Governors may wish to consider increase</w:t>
      </w:r>
      <w:r w:rsidR="00094370">
        <w:rPr>
          <w:sz w:val="24"/>
          <w:szCs w:val="24"/>
        </w:rPr>
        <w:t>d</w:t>
      </w:r>
      <w:r>
        <w:rPr>
          <w:sz w:val="24"/>
          <w:szCs w:val="24"/>
        </w:rPr>
        <w:t xml:space="preserve"> LF</w:t>
      </w:r>
      <w:r w:rsidR="002C57B4">
        <w:rPr>
          <w:sz w:val="24"/>
          <w:szCs w:val="24"/>
        </w:rPr>
        <w:t xml:space="preserve">D </w:t>
      </w:r>
      <w:r>
        <w:rPr>
          <w:sz w:val="24"/>
          <w:szCs w:val="24"/>
        </w:rPr>
        <w:t>testing and/or seek reassurance of Covid workplace practices were prisoners are known to be working within higher risk areas</w:t>
      </w:r>
      <w:r>
        <w:rPr>
          <w:i/>
          <w:iCs/>
        </w:rPr>
        <w:t>.</w:t>
      </w:r>
      <w:r w:rsidR="00094370">
        <w:rPr>
          <w:i/>
          <w:iCs/>
        </w:rPr>
        <w:t xml:space="preserve">  </w:t>
      </w:r>
      <w:r w:rsidR="00094370" w:rsidRPr="002C57B4">
        <w:rPr>
          <w:sz w:val="24"/>
          <w:szCs w:val="24"/>
        </w:rPr>
        <w:t xml:space="preserve">The use of reverse </w:t>
      </w:r>
      <w:proofErr w:type="spellStart"/>
      <w:r w:rsidR="00094370" w:rsidRPr="002C57B4">
        <w:rPr>
          <w:sz w:val="24"/>
          <w:szCs w:val="24"/>
        </w:rPr>
        <w:t>cohorting</w:t>
      </w:r>
      <w:proofErr w:type="spellEnd"/>
      <w:r w:rsidR="00094370" w:rsidRPr="002C57B4">
        <w:rPr>
          <w:sz w:val="24"/>
          <w:szCs w:val="24"/>
        </w:rPr>
        <w:t xml:space="preserve"> is also an important consideration</w:t>
      </w:r>
      <w:r w:rsidR="002C57B4">
        <w:rPr>
          <w:sz w:val="24"/>
          <w:szCs w:val="24"/>
        </w:rPr>
        <w:t xml:space="preserve"> to reduce the transmission risk across all forms of ROTL.</w:t>
      </w:r>
    </w:p>
    <w:p w14:paraId="36223948" w14:textId="77777777" w:rsidR="00B37AF5" w:rsidRDefault="00B37AF5" w:rsidP="00473554">
      <w:pPr>
        <w:tabs>
          <w:tab w:val="left" w:pos="930"/>
        </w:tabs>
        <w:ind w:left="360"/>
        <w:jc w:val="both"/>
      </w:pPr>
    </w:p>
    <w:p w14:paraId="464C5EEC" w14:textId="113F99C0" w:rsidR="002B4825" w:rsidRPr="00094370" w:rsidRDefault="00B37AF5" w:rsidP="00F668CA">
      <w:pPr>
        <w:pStyle w:val="ListParagraph"/>
        <w:numPr>
          <w:ilvl w:val="0"/>
          <w:numId w:val="6"/>
        </w:numPr>
        <w:jc w:val="both"/>
        <w:rPr>
          <w:b/>
          <w:bCs/>
          <w:sz w:val="24"/>
          <w:szCs w:val="24"/>
        </w:rPr>
      </w:pPr>
      <w:r w:rsidRPr="00094370">
        <w:rPr>
          <w:b/>
          <w:bCs/>
          <w:sz w:val="24"/>
          <w:szCs w:val="24"/>
        </w:rPr>
        <w:t>Social Visits</w:t>
      </w:r>
    </w:p>
    <w:p w14:paraId="2221D642" w14:textId="189A311F" w:rsidR="00B37AF5" w:rsidRPr="00697F02" w:rsidRDefault="00B37AF5" w:rsidP="00473554">
      <w:pPr>
        <w:ind w:left="360"/>
        <w:jc w:val="both"/>
        <w:rPr>
          <w:sz w:val="24"/>
          <w:szCs w:val="24"/>
          <w:u w:val="single"/>
        </w:rPr>
      </w:pPr>
      <w:r w:rsidRPr="00B37AF5">
        <w:rPr>
          <w:sz w:val="24"/>
          <w:szCs w:val="24"/>
        </w:rPr>
        <w:t>Social visits, where available</w:t>
      </w:r>
      <w:r w:rsidR="00BD68FC">
        <w:rPr>
          <w:sz w:val="24"/>
          <w:szCs w:val="24"/>
        </w:rPr>
        <w:t>, should</w:t>
      </w:r>
      <w:r w:rsidRPr="00B37AF5">
        <w:rPr>
          <w:sz w:val="24"/>
          <w:szCs w:val="24"/>
        </w:rPr>
        <w:t xml:space="preserve"> continue to be run in a COVID secure manner.  Visitors from areas effected by a VOC are advised to stay local but this is not a stay-at-home directive.  We should encourage all social visitors from such areas to be </w:t>
      </w:r>
      <w:r w:rsidRPr="00B37AF5">
        <w:rPr>
          <w:sz w:val="24"/>
          <w:szCs w:val="24"/>
        </w:rPr>
        <w:lastRenderedPageBreak/>
        <w:t xml:space="preserve">mindful of both the necessity and the potential risk to health of their visit. </w:t>
      </w:r>
      <w:r w:rsidRPr="00697F02">
        <w:rPr>
          <w:sz w:val="24"/>
          <w:szCs w:val="24"/>
          <w:u w:val="single"/>
        </w:rPr>
        <w:t>We are however not specifically instructing visitors to stay away.</w:t>
      </w:r>
    </w:p>
    <w:p w14:paraId="0725681D" w14:textId="77777777" w:rsidR="00B37AF5" w:rsidRPr="00B37AF5" w:rsidRDefault="00B37AF5" w:rsidP="00473554">
      <w:pPr>
        <w:ind w:left="360"/>
        <w:jc w:val="both"/>
        <w:rPr>
          <w:sz w:val="24"/>
          <w:szCs w:val="24"/>
        </w:rPr>
      </w:pPr>
    </w:p>
    <w:p w14:paraId="3CA17EFC" w14:textId="3C84AC0D" w:rsidR="00C00059" w:rsidRDefault="00B37AF5" w:rsidP="00473554">
      <w:pPr>
        <w:ind w:left="360"/>
        <w:jc w:val="both"/>
        <w:rPr>
          <w:sz w:val="24"/>
          <w:szCs w:val="24"/>
        </w:rPr>
      </w:pPr>
      <w:r w:rsidRPr="00B37AF5">
        <w:rPr>
          <w:sz w:val="24"/>
          <w:szCs w:val="24"/>
        </w:rPr>
        <w:t xml:space="preserve">If any visitors from an area effected by a </w:t>
      </w:r>
      <w:proofErr w:type="spellStart"/>
      <w:r w:rsidRPr="00B37AF5">
        <w:rPr>
          <w:sz w:val="24"/>
          <w:szCs w:val="24"/>
        </w:rPr>
        <w:t>V</w:t>
      </w:r>
      <w:r w:rsidR="002C57B4">
        <w:rPr>
          <w:sz w:val="24"/>
          <w:szCs w:val="24"/>
        </w:rPr>
        <w:t>o</w:t>
      </w:r>
      <w:r w:rsidRPr="00B37AF5">
        <w:rPr>
          <w:sz w:val="24"/>
          <w:szCs w:val="24"/>
        </w:rPr>
        <w:t>C</w:t>
      </w:r>
      <w:proofErr w:type="spellEnd"/>
      <w:r w:rsidRPr="00B37AF5">
        <w:rPr>
          <w:sz w:val="24"/>
          <w:szCs w:val="24"/>
        </w:rPr>
        <w:t xml:space="preserve"> do decide to cancel their visit, then establishments should ensure that the prisoner is given an opportunity to contact their family/friends by video call or telephone.</w:t>
      </w:r>
    </w:p>
    <w:p w14:paraId="5B749488" w14:textId="48C9469D" w:rsidR="008F22DB" w:rsidRDefault="008F22DB" w:rsidP="00473554">
      <w:pPr>
        <w:jc w:val="both"/>
        <w:rPr>
          <w:sz w:val="24"/>
          <w:szCs w:val="24"/>
        </w:rPr>
      </w:pPr>
    </w:p>
    <w:p w14:paraId="6CA6D158" w14:textId="77777777" w:rsidR="002C57B4" w:rsidRDefault="002C57B4" w:rsidP="00473554">
      <w:pPr>
        <w:jc w:val="both"/>
        <w:rPr>
          <w:sz w:val="24"/>
          <w:szCs w:val="24"/>
        </w:rPr>
      </w:pPr>
    </w:p>
    <w:p w14:paraId="14B382C8" w14:textId="3D0535D8" w:rsidR="008F22DB" w:rsidRPr="00942214" w:rsidRDefault="008F22DB" w:rsidP="00697F02">
      <w:pPr>
        <w:jc w:val="both"/>
        <w:rPr>
          <w:b/>
          <w:bCs/>
          <w:sz w:val="24"/>
          <w:szCs w:val="24"/>
        </w:rPr>
      </w:pPr>
      <w:r w:rsidRPr="00942214">
        <w:rPr>
          <w:b/>
          <w:bCs/>
          <w:sz w:val="24"/>
          <w:szCs w:val="24"/>
        </w:rPr>
        <w:t>Covid</w:t>
      </w:r>
      <w:r w:rsidR="00834962">
        <w:rPr>
          <w:b/>
          <w:bCs/>
          <w:sz w:val="24"/>
          <w:szCs w:val="24"/>
        </w:rPr>
        <w:t>-19</w:t>
      </w:r>
      <w:r w:rsidRPr="00942214">
        <w:rPr>
          <w:b/>
          <w:bCs/>
          <w:sz w:val="24"/>
          <w:szCs w:val="24"/>
        </w:rPr>
        <w:t xml:space="preserve"> Gold Command</w:t>
      </w:r>
    </w:p>
    <w:p w14:paraId="159DD12C" w14:textId="592B0585" w:rsidR="008F22DB" w:rsidRPr="00942214" w:rsidRDefault="008F22DB" w:rsidP="00697F02">
      <w:pPr>
        <w:jc w:val="both"/>
        <w:rPr>
          <w:b/>
          <w:bCs/>
          <w:sz w:val="24"/>
          <w:szCs w:val="24"/>
        </w:rPr>
      </w:pPr>
      <w:r w:rsidRPr="00942214">
        <w:rPr>
          <w:b/>
          <w:bCs/>
          <w:sz w:val="24"/>
          <w:szCs w:val="24"/>
        </w:rPr>
        <w:t>25 May 2021</w:t>
      </w:r>
    </w:p>
    <w:sectPr w:rsidR="008F22DB" w:rsidRPr="009422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86B76"/>
    <w:multiLevelType w:val="hybridMultilevel"/>
    <w:tmpl w:val="C7267E0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 w15:restartNumberingAfterBreak="0">
    <w:nsid w:val="341A796A"/>
    <w:multiLevelType w:val="hybridMultilevel"/>
    <w:tmpl w:val="D61229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A1D3822"/>
    <w:multiLevelType w:val="hybridMultilevel"/>
    <w:tmpl w:val="799E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C7B55"/>
    <w:multiLevelType w:val="hybridMultilevel"/>
    <w:tmpl w:val="961AEB42"/>
    <w:lvl w:ilvl="0" w:tplc="428C82F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9FD3EE6"/>
    <w:multiLevelType w:val="hybridMultilevel"/>
    <w:tmpl w:val="83F49C1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0296FAA"/>
    <w:multiLevelType w:val="hybridMultilevel"/>
    <w:tmpl w:val="14EA9C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07C118E"/>
    <w:multiLevelType w:val="hybridMultilevel"/>
    <w:tmpl w:val="57A6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6B9"/>
    <w:rsid w:val="0007354A"/>
    <w:rsid w:val="00094370"/>
    <w:rsid w:val="000A2BE8"/>
    <w:rsid w:val="000B6898"/>
    <w:rsid w:val="000C5D9B"/>
    <w:rsid w:val="00174471"/>
    <w:rsid w:val="001D2606"/>
    <w:rsid w:val="001F1DD3"/>
    <w:rsid w:val="001F6269"/>
    <w:rsid w:val="00262CC6"/>
    <w:rsid w:val="0029395E"/>
    <w:rsid w:val="002957B8"/>
    <w:rsid w:val="002B79E2"/>
    <w:rsid w:val="002C57B4"/>
    <w:rsid w:val="0031005C"/>
    <w:rsid w:val="00332514"/>
    <w:rsid w:val="00336C4B"/>
    <w:rsid w:val="00337650"/>
    <w:rsid w:val="003C150E"/>
    <w:rsid w:val="003E460B"/>
    <w:rsid w:val="0047147D"/>
    <w:rsid w:val="00473554"/>
    <w:rsid w:val="005207C9"/>
    <w:rsid w:val="0053406F"/>
    <w:rsid w:val="00560001"/>
    <w:rsid w:val="00603E28"/>
    <w:rsid w:val="00664C21"/>
    <w:rsid w:val="00697F02"/>
    <w:rsid w:val="00745E4F"/>
    <w:rsid w:val="0074627C"/>
    <w:rsid w:val="007B778C"/>
    <w:rsid w:val="007C34EE"/>
    <w:rsid w:val="007D45CE"/>
    <w:rsid w:val="00820410"/>
    <w:rsid w:val="00834962"/>
    <w:rsid w:val="0084254C"/>
    <w:rsid w:val="0084452A"/>
    <w:rsid w:val="008C01BF"/>
    <w:rsid w:val="008E2485"/>
    <w:rsid w:val="008F1FD8"/>
    <w:rsid w:val="008F22DB"/>
    <w:rsid w:val="008F38DF"/>
    <w:rsid w:val="008F6C8D"/>
    <w:rsid w:val="00906914"/>
    <w:rsid w:val="00942214"/>
    <w:rsid w:val="0094236D"/>
    <w:rsid w:val="00A219CB"/>
    <w:rsid w:val="00A32C85"/>
    <w:rsid w:val="00AB0C50"/>
    <w:rsid w:val="00AB6FA2"/>
    <w:rsid w:val="00AC1303"/>
    <w:rsid w:val="00B039BC"/>
    <w:rsid w:val="00B166B9"/>
    <w:rsid w:val="00B37AF5"/>
    <w:rsid w:val="00B64A40"/>
    <w:rsid w:val="00B67E4E"/>
    <w:rsid w:val="00BD1482"/>
    <w:rsid w:val="00BD68FC"/>
    <w:rsid w:val="00C00059"/>
    <w:rsid w:val="00C51FA2"/>
    <w:rsid w:val="00C655B9"/>
    <w:rsid w:val="00CA7F88"/>
    <w:rsid w:val="00CB70D8"/>
    <w:rsid w:val="00D111DC"/>
    <w:rsid w:val="00D3549F"/>
    <w:rsid w:val="00D517DB"/>
    <w:rsid w:val="00DC78E8"/>
    <w:rsid w:val="00DD510E"/>
    <w:rsid w:val="00E61900"/>
    <w:rsid w:val="00E86585"/>
    <w:rsid w:val="00ED4DD7"/>
    <w:rsid w:val="00F168B6"/>
    <w:rsid w:val="00F453A2"/>
    <w:rsid w:val="00F668CA"/>
    <w:rsid w:val="00F769CB"/>
    <w:rsid w:val="00FA623E"/>
    <w:rsid w:val="00FF2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977FD1"/>
  <w15:chartTrackingRefBased/>
  <w15:docId w15:val="{F2C1CC4D-F562-43ED-AD75-5E68736D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B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6B9"/>
    <w:pPr>
      <w:ind w:left="720"/>
      <w:contextualSpacing/>
    </w:pPr>
    <w:rPr>
      <w:lang w:eastAsia="en-GB"/>
    </w:rPr>
  </w:style>
  <w:style w:type="character" w:styleId="Hyperlink">
    <w:name w:val="Hyperlink"/>
    <w:basedOn w:val="DefaultParagraphFont"/>
    <w:uiPriority w:val="99"/>
    <w:unhideWhenUsed/>
    <w:rsid w:val="00F453A2"/>
    <w:rPr>
      <w:color w:val="0563C1"/>
      <w:u w:val="single"/>
    </w:rPr>
  </w:style>
  <w:style w:type="paragraph" w:customStyle="1" w:styleId="Default">
    <w:name w:val="Default"/>
    <w:rsid w:val="0047147D"/>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21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3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95E"/>
    <w:rPr>
      <w:rFonts w:ascii="Segoe UI" w:hAnsi="Segoe UI" w:cs="Segoe UI"/>
      <w:sz w:val="18"/>
      <w:szCs w:val="18"/>
    </w:rPr>
  </w:style>
  <w:style w:type="character" w:styleId="UnresolvedMention">
    <w:name w:val="Unresolved Mention"/>
    <w:basedOn w:val="DefaultParagraphFont"/>
    <w:uiPriority w:val="99"/>
    <w:semiHidden/>
    <w:unhideWhenUsed/>
    <w:rsid w:val="00CA7F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83578">
      <w:bodyDiv w:val="1"/>
      <w:marLeft w:val="0"/>
      <w:marRight w:val="0"/>
      <w:marTop w:val="0"/>
      <w:marBottom w:val="0"/>
      <w:divBdr>
        <w:top w:val="none" w:sz="0" w:space="0" w:color="auto"/>
        <w:left w:val="none" w:sz="0" w:space="0" w:color="auto"/>
        <w:bottom w:val="none" w:sz="0" w:space="0" w:color="auto"/>
        <w:right w:val="none" w:sz="0" w:space="0" w:color="auto"/>
      </w:divBdr>
    </w:div>
    <w:div w:id="640228122">
      <w:bodyDiv w:val="1"/>
      <w:marLeft w:val="0"/>
      <w:marRight w:val="0"/>
      <w:marTop w:val="0"/>
      <w:marBottom w:val="0"/>
      <w:divBdr>
        <w:top w:val="none" w:sz="0" w:space="0" w:color="auto"/>
        <w:left w:val="none" w:sz="0" w:space="0" w:color="auto"/>
        <w:bottom w:val="none" w:sz="0" w:space="0" w:color="auto"/>
        <w:right w:val="none" w:sz="0" w:space="0" w:color="auto"/>
      </w:divBdr>
    </w:div>
    <w:div w:id="719943360">
      <w:bodyDiv w:val="1"/>
      <w:marLeft w:val="0"/>
      <w:marRight w:val="0"/>
      <w:marTop w:val="0"/>
      <w:marBottom w:val="0"/>
      <w:divBdr>
        <w:top w:val="none" w:sz="0" w:space="0" w:color="auto"/>
        <w:left w:val="none" w:sz="0" w:space="0" w:color="auto"/>
        <w:bottom w:val="none" w:sz="0" w:space="0" w:color="auto"/>
        <w:right w:val="none" w:sz="0" w:space="0" w:color="auto"/>
      </w:divBdr>
    </w:div>
    <w:div w:id="1082945412">
      <w:bodyDiv w:val="1"/>
      <w:marLeft w:val="0"/>
      <w:marRight w:val="0"/>
      <w:marTop w:val="0"/>
      <w:marBottom w:val="0"/>
      <w:divBdr>
        <w:top w:val="none" w:sz="0" w:space="0" w:color="auto"/>
        <w:left w:val="none" w:sz="0" w:space="0" w:color="auto"/>
        <w:bottom w:val="none" w:sz="0" w:space="0" w:color="auto"/>
        <w:right w:val="none" w:sz="0" w:space="0" w:color="auto"/>
      </w:divBdr>
    </w:div>
    <w:div w:id="129231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v.wales/covid-19-wales-situational-report-20-may-2021-html" TargetMode="External"/><Relationship Id="rId5" Type="http://schemas.openxmlformats.org/officeDocument/2006/relationships/styles" Target="styles.xml"/><Relationship Id="rId10" Type="http://schemas.openxmlformats.org/officeDocument/2006/relationships/hyperlink" Target="https://gov.wales/alert-level-2" TargetMode="External"/><Relationship Id="rId4" Type="http://schemas.openxmlformats.org/officeDocument/2006/relationships/numbering" Target="numbering.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UniqueSourceRef xmlns="0bb1c71b-1126-420a-8375-5baa5d70e5cc" xsi:nil="true"/>
    <FileHash xmlns="0bb1c71b-1126-420a-8375-5baa5d70e5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773022CAA27C478F2AA69679579561" ma:contentTypeVersion="14" ma:contentTypeDescription="Create a new document." ma:contentTypeScope="" ma:versionID="9d036ea1d9789b3d4e4ea4233c279f83">
  <xsd:schema xmlns:xsd="http://www.w3.org/2001/XMLSchema" xmlns:xs="http://www.w3.org/2001/XMLSchema" xmlns:p="http://schemas.microsoft.com/office/2006/metadata/properties" xmlns:ns3="0bb1c71b-1126-420a-8375-5baa5d70e5cc" targetNamespace="http://schemas.microsoft.com/office/2006/metadata/properties" ma:root="true" ma:fieldsID="a364ed20e3e1b555ff59636fd5531b86" ns3:_="">
    <xsd:import namespace="0bb1c71b-1126-420a-8375-5baa5d70e5cc"/>
    <xsd:element name="properties">
      <xsd:complexType>
        <xsd:sequence>
          <xsd:element name="documentManagement">
            <xsd:complexType>
              <xsd:all>
                <xsd:element ref="ns3:UniqueSourceRef" minOccurs="0"/>
                <xsd:element ref="ns3:FileHash" minOccurs="0"/>
                <xsd:element ref="ns3:SharedWithUsers" minOccurs="0"/>
                <xsd:element ref="ns3:SharedWithDetails" minOccurs="0"/>
                <xsd:element ref="ns3: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1c71b-1126-420a-8375-5baa5d70e5c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2A8DFD-E38C-47CF-930E-B45A8509FB9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bb1c71b-1126-420a-8375-5baa5d70e5cc"/>
    <ds:schemaRef ds:uri="http://www.w3.org/XML/1998/namespace"/>
    <ds:schemaRef ds:uri="http://purl.org/dc/dcmitype/"/>
  </ds:schemaRefs>
</ds:datastoreItem>
</file>

<file path=customXml/itemProps2.xml><?xml version="1.0" encoding="utf-8"?>
<ds:datastoreItem xmlns:ds="http://schemas.openxmlformats.org/officeDocument/2006/customXml" ds:itemID="{649A4A71-296A-4B74-AC88-B285F9F00002}">
  <ds:schemaRefs>
    <ds:schemaRef ds:uri="http://schemas.microsoft.com/sharepoint/v3/contenttype/forms"/>
  </ds:schemaRefs>
</ds:datastoreItem>
</file>

<file path=customXml/itemProps3.xml><?xml version="1.0" encoding="utf-8"?>
<ds:datastoreItem xmlns:ds="http://schemas.openxmlformats.org/officeDocument/2006/customXml" ds:itemID="{BE612192-24B9-4AEA-AA26-F150F5824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1c71b-1126-420a-8375-5baa5d70e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4167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Liddemore, David</dc:creator>
  <cp:keywords/>
  <dc:description/>
  <cp:lastModifiedBy>Liddemore, David</cp:lastModifiedBy>
  <cp:revision>2</cp:revision>
  <dcterms:created xsi:type="dcterms:W3CDTF">2021-05-25T20:56:00Z</dcterms:created>
  <dcterms:modified xsi:type="dcterms:W3CDTF">2021-05-25T20:56:00Z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0x01010092773022CAA27C478F2AA69679579561</vt:lpwstr>
  </property>
</Properties>
</file>