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3BEE3" w14:textId="49F9B5FB" w:rsidR="00B166B9" w:rsidRPr="00F168B6" w:rsidRDefault="00B166B9" w:rsidP="00E61900">
      <w:pPr>
        <w:jc w:val="center"/>
        <w:rPr>
          <w:b/>
          <w:bCs/>
          <w:sz w:val="24"/>
          <w:szCs w:val="24"/>
          <w:u w:val="single"/>
        </w:rPr>
      </w:pPr>
      <w:r w:rsidRPr="00F168B6">
        <w:rPr>
          <w:b/>
          <w:bCs/>
          <w:sz w:val="24"/>
          <w:szCs w:val="24"/>
          <w:u w:val="single"/>
        </w:rPr>
        <w:t>Gold Briefing – 2</w:t>
      </w:r>
      <w:r w:rsidR="006E7967">
        <w:rPr>
          <w:b/>
          <w:bCs/>
          <w:sz w:val="24"/>
          <w:szCs w:val="24"/>
          <w:u w:val="single"/>
        </w:rPr>
        <w:t>7</w:t>
      </w:r>
      <w:r w:rsidRPr="00F168B6">
        <w:rPr>
          <w:b/>
          <w:bCs/>
          <w:sz w:val="24"/>
          <w:szCs w:val="24"/>
          <w:u w:val="single"/>
        </w:rPr>
        <w:t xml:space="preserve"> May 2021</w:t>
      </w:r>
    </w:p>
    <w:p w14:paraId="7C6681F7" w14:textId="0394D7F2" w:rsidR="00B166B9" w:rsidRDefault="00B166B9" w:rsidP="00B166B9">
      <w:pPr>
        <w:rPr>
          <w:sz w:val="24"/>
          <w:szCs w:val="24"/>
        </w:rPr>
      </w:pPr>
    </w:p>
    <w:p w14:paraId="002D1218" w14:textId="3C38FA1E" w:rsidR="00B166B9" w:rsidRPr="00E61900" w:rsidRDefault="00BA2B10" w:rsidP="00B166B9">
      <w:pPr>
        <w:rPr>
          <w:b/>
          <w:bCs/>
          <w:sz w:val="24"/>
          <w:szCs w:val="24"/>
          <w:u w:val="single"/>
        </w:rPr>
      </w:pPr>
      <w:r>
        <w:rPr>
          <w:b/>
          <w:bCs/>
          <w:sz w:val="24"/>
          <w:szCs w:val="24"/>
          <w:u w:val="single"/>
        </w:rPr>
        <w:t>Physical contact during social visits</w:t>
      </w:r>
    </w:p>
    <w:p w14:paraId="348E11DA" w14:textId="3F36D5E6" w:rsidR="00B166B9" w:rsidRDefault="00B166B9" w:rsidP="00B166B9">
      <w:pPr>
        <w:rPr>
          <w:sz w:val="24"/>
          <w:szCs w:val="24"/>
        </w:rPr>
      </w:pPr>
    </w:p>
    <w:p w14:paraId="35B8BBE9" w14:textId="63EB2E44" w:rsidR="00E61900" w:rsidRPr="00E61900" w:rsidRDefault="00E61900" w:rsidP="00B166B9">
      <w:pPr>
        <w:rPr>
          <w:sz w:val="24"/>
          <w:szCs w:val="24"/>
          <w:u w:val="single"/>
        </w:rPr>
      </w:pPr>
      <w:r w:rsidRPr="00E61900">
        <w:rPr>
          <w:sz w:val="24"/>
          <w:szCs w:val="24"/>
          <w:u w:val="single"/>
        </w:rPr>
        <w:t>Purpose</w:t>
      </w:r>
    </w:p>
    <w:p w14:paraId="505AD85E" w14:textId="50EA0213" w:rsidR="00E61900" w:rsidRDefault="00E61900" w:rsidP="00B166B9">
      <w:pPr>
        <w:rPr>
          <w:sz w:val="24"/>
          <w:szCs w:val="24"/>
        </w:rPr>
      </w:pPr>
    </w:p>
    <w:p w14:paraId="61C5377B" w14:textId="10A63042" w:rsidR="00B20824" w:rsidRDefault="00403B04" w:rsidP="00BD0380">
      <w:pPr>
        <w:jc w:val="both"/>
        <w:rPr>
          <w:sz w:val="24"/>
          <w:szCs w:val="24"/>
        </w:rPr>
      </w:pPr>
      <w:r>
        <w:rPr>
          <w:sz w:val="24"/>
          <w:szCs w:val="24"/>
        </w:rPr>
        <w:t xml:space="preserve">To </w:t>
      </w:r>
      <w:r w:rsidR="009C7551">
        <w:rPr>
          <w:sz w:val="24"/>
          <w:szCs w:val="24"/>
        </w:rPr>
        <w:t>inform</w:t>
      </w:r>
      <w:r>
        <w:rPr>
          <w:sz w:val="24"/>
          <w:szCs w:val="24"/>
        </w:rPr>
        <w:t xml:space="preserve"> </w:t>
      </w:r>
      <w:r w:rsidR="0021165B">
        <w:rPr>
          <w:sz w:val="24"/>
          <w:szCs w:val="24"/>
        </w:rPr>
        <w:t>establishments that</w:t>
      </w:r>
      <w:r w:rsidR="006B6145">
        <w:rPr>
          <w:sz w:val="24"/>
          <w:szCs w:val="24"/>
        </w:rPr>
        <w:t>,</w:t>
      </w:r>
      <w:r w:rsidR="0021165B">
        <w:rPr>
          <w:sz w:val="24"/>
          <w:szCs w:val="24"/>
        </w:rPr>
        <w:t xml:space="preserve"> </w:t>
      </w:r>
      <w:r w:rsidR="00BD2BF4">
        <w:rPr>
          <w:sz w:val="24"/>
          <w:szCs w:val="24"/>
        </w:rPr>
        <w:t>where social visits are available</w:t>
      </w:r>
      <w:r w:rsidR="006B6145">
        <w:rPr>
          <w:sz w:val="24"/>
          <w:szCs w:val="24"/>
        </w:rPr>
        <w:t>,</w:t>
      </w:r>
      <w:r w:rsidR="00B20824">
        <w:rPr>
          <w:sz w:val="24"/>
          <w:szCs w:val="24"/>
        </w:rPr>
        <w:t xml:space="preserve"> </w:t>
      </w:r>
      <w:r w:rsidR="00AF109F">
        <w:rPr>
          <w:sz w:val="24"/>
          <w:szCs w:val="24"/>
        </w:rPr>
        <w:t xml:space="preserve">the following </w:t>
      </w:r>
      <w:r w:rsidR="00BD2BF4">
        <w:rPr>
          <w:sz w:val="24"/>
          <w:szCs w:val="24"/>
        </w:rPr>
        <w:t xml:space="preserve">is </w:t>
      </w:r>
      <w:r w:rsidR="00285F7E">
        <w:rPr>
          <w:sz w:val="24"/>
          <w:szCs w:val="24"/>
        </w:rPr>
        <w:t xml:space="preserve">now </w:t>
      </w:r>
      <w:r w:rsidR="00BD2BF4">
        <w:rPr>
          <w:sz w:val="24"/>
          <w:szCs w:val="24"/>
        </w:rPr>
        <w:t>permitted</w:t>
      </w:r>
      <w:r w:rsidR="00B20824">
        <w:rPr>
          <w:sz w:val="24"/>
          <w:szCs w:val="24"/>
        </w:rPr>
        <w:t>:</w:t>
      </w:r>
    </w:p>
    <w:p w14:paraId="028CC73E" w14:textId="77777777" w:rsidR="00B20824" w:rsidRDefault="00B20824" w:rsidP="00B166B9">
      <w:pPr>
        <w:rPr>
          <w:sz w:val="24"/>
          <w:szCs w:val="24"/>
        </w:rPr>
      </w:pPr>
    </w:p>
    <w:p w14:paraId="3C5E6746" w14:textId="6E6C1A97" w:rsidR="00403B04" w:rsidRDefault="0021165B" w:rsidP="00BD0380">
      <w:pPr>
        <w:pStyle w:val="ListParagraph"/>
        <w:numPr>
          <w:ilvl w:val="0"/>
          <w:numId w:val="11"/>
        </w:numPr>
        <w:jc w:val="both"/>
        <w:rPr>
          <w:sz w:val="24"/>
          <w:szCs w:val="24"/>
        </w:rPr>
      </w:pPr>
      <w:r w:rsidRPr="00B20824">
        <w:rPr>
          <w:sz w:val="24"/>
          <w:szCs w:val="24"/>
        </w:rPr>
        <w:t xml:space="preserve">physical contact </w:t>
      </w:r>
      <w:r w:rsidR="00716A60" w:rsidRPr="00B20824">
        <w:rPr>
          <w:sz w:val="24"/>
          <w:szCs w:val="24"/>
        </w:rPr>
        <w:t xml:space="preserve">between </w:t>
      </w:r>
      <w:r w:rsidR="001C1CA3" w:rsidRPr="00B20824">
        <w:rPr>
          <w:sz w:val="24"/>
          <w:szCs w:val="24"/>
        </w:rPr>
        <w:t xml:space="preserve">prisoners and </w:t>
      </w:r>
      <w:r w:rsidR="00716A60" w:rsidRPr="00B20824">
        <w:rPr>
          <w:sz w:val="24"/>
          <w:szCs w:val="24"/>
        </w:rPr>
        <w:t xml:space="preserve">children </w:t>
      </w:r>
      <w:r w:rsidR="001B0E43">
        <w:rPr>
          <w:sz w:val="24"/>
          <w:szCs w:val="24"/>
        </w:rPr>
        <w:t>under 11</w:t>
      </w:r>
      <w:r w:rsidR="00716A60" w:rsidRPr="00B20824">
        <w:rPr>
          <w:sz w:val="24"/>
          <w:szCs w:val="24"/>
        </w:rPr>
        <w:t xml:space="preserve"> </w:t>
      </w:r>
      <w:r w:rsidR="00F12CEE" w:rsidRPr="00B20824">
        <w:rPr>
          <w:sz w:val="24"/>
          <w:szCs w:val="24"/>
        </w:rPr>
        <w:t xml:space="preserve">is permitted </w:t>
      </w:r>
      <w:r w:rsidR="001C1CA3" w:rsidRPr="00B20824">
        <w:rPr>
          <w:sz w:val="24"/>
          <w:szCs w:val="24"/>
        </w:rPr>
        <w:t>during social visits.</w:t>
      </w:r>
    </w:p>
    <w:p w14:paraId="5D11E3CB" w14:textId="4364CFB3" w:rsidR="006B6145" w:rsidRPr="00B20824" w:rsidRDefault="00485AFD" w:rsidP="00B20824">
      <w:pPr>
        <w:pStyle w:val="ListParagraph"/>
        <w:numPr>
          <w:ilvl w:val="0"/>
          <w:numId w:val="11"/>
        </w:numPr>
        <w:rPr>
          <w:sz w:val="24"/>
          <w:szCs w:val="24"/>
        </w:rPr>
      </w:pPr>
      <w:r>
        <w:rPr>
          <w:sz w:val="24"/>
          <w:szCs w:val="24"/>
        </w:rPr>
        <w:t xml:space="preserve">Visitors </w:t>
      </w:r>
      <w:r w:rsidR="00736F33">
        <w:rPr>
          <w:sz w:val="24"/>
          <w:szCs w:val="24"/>
        </w:rPr>
        <w:t>to an individual prisoner can come from up to 2 hous</w:t>
      </w:r>
      <w:r w:rsidR="009A358B">
        <w:rPr>
          <w:sz w:val="24"/>
          <w:szCs w:val="24"/>
        </w:rPr>
        <w:t>eholds.</w:t>
      </w:r>
      <w:r w:rsidR="00736F33">
        <w:rPr>
          <w:sz w:val="24"/>
          <w:szCs w:val="24"/>
        </w:rPr>
        <w:t xml:space="preserve"> </w:t>
      </w:r>
    </w:p>
    <w:p w14:paraId="67DFFFFE" w14:textId="1C816A9A" w:rsidR="00F02630" w:rsidRDefault="00F02630" w:rsidP="00B166B9">
      <w:pPr>
        <w:rPr>
          <w:sz w:val="24"/>
          <w:szCs w:val="24"/>
        </w:rPr>
      </w:pPr>
    </w:p>
    <w:p w14:paraId="2BE35C88" w14:textId="0D314658" w:rsidR="00BD6BE5" w:rsidRDefault="00BD6BE5" w:rsidP="00B166B9">
      <w:pPr>
        <w:rPr>
          <w:sz w:val="24"/>
          <w:szCs w:val="24"/>
        </w:rPr>
      </w:pPr>
      <w:r>
        <w:rPr>
          <w:sz w:val="24"/>
          <w:szCs w:val="24"/>
        </w:rPr>
        <w:t xml:space="preserve">These changes apply to prisons in </w:t>
      </w:r>
      <w:r w:rsidR="0051080C">
        <w:rPr>
          <w:sz w:val="24"/>
          <w:szCs w:val="24"/>
        </w:rPr>
        <w:t xml:space="preserve">both </w:t>
      </w:r>
      <w:r>
        <w:rPr>
          <w:sz w:val="24"/>
          <w:szCs w:val="24"/>
        </w:rPr>
        <w:t>England and Wales</w:t>
      </w:r>
      <w:r w:rsidR="00977716">
        <w:rPr>
          <w:sz w:val="24"/>
          <w:szCs w:val="24"/>
        </w:rPr>
        <w:t>.</w:t>
      </w:r>
    </w:p>
    <w:p w14:paraId="543568CA" w14:textId="77777777" w:rsidR="00BD6BE5" w:rsidRDefault="00BD6BE5" w:rsidP="00B166B9">
      <w:pPr>
        <w:rPr>
          <w:sz w:val="24"/>
          <w:szCs w:val="24"/>
        </w:rPr>
      </w:pPr>
    </w:p>
    <w:p w14:paraId="13992A09" w14:textId="58E677DF" w:rsidR="00F02630" w:rsidRPr="00EE4442" w:rsidRDefault="00EE4442" w:rsidP="00B166B9">
      <w:pPr>
        <w:rPr>
          <w:sz w:val="24"/>
          <w:szCs w:val="24"/>
          <w:u w:val="single"/>
        </w:rPr>
      </w:pPr>
      <w:r w:rsidRPr="00EE4442">
        <w:rPr>
          <w:sz w:val="24"/>
          <w:szCs w:val="24"/>
          <w:u w:val="single"/>
        </w:rPr>
        <w:t>Summary</w:t>
      </w:r>
    </w:p>
    <w:p w14:paraId="235134CC" w14:textId="7D6349F3" w:rsidR="00C031DA" w:rsidRDefault="00C031DA" w:rsidP="00B166B9">
      <w:pPr>
        <w:rPr>
          <w:sz w:val="24"/>
          <w:szCs w:val="24"/>
        </w:rPr>
      </w:pPr>
    </w:p>
    <w:p w14:paraId="3EE9F5FF" w14:textId="198B387B" w:rsidR="00CD0760" w:rsidRDefault="00D35624" w:rsidP="00BD0380">
      <w:pPr>
        <w:jc w:val="both"/>
      </w:pPr>
      <w:r>
        <w:t>R</w:t>
      </w:r>
      <w:r w:rsidR="00BD6BE5">
        <w:t xml:space="preserve">ecent </w:t>
      </w:r>
      <w:r w:rsidR="00371209">
        <w:t xml:space="preserve">changes </w:t>
      </w:r>
      <w:r w:rsidR="00AA767C">
        <w:t xml:space="preserve">in the community </w:t>
      </w:r>
      <w:r>
        <w:t xml:space="preserve">guidelines </w:t>
      </w:r>
      <w:r w:rsidR="00AA767C">
        <w:t xml:space="preserve">have seen an </w:t>
      </w:r>
      <w:r w:rsidR="00977716">
        <w:t>eas</w:t>
      </w:r>
      <w:r w:rsidR="00AA767C">
        <w:t xml:space="preserve">ing </w:t>
      </w:r>
      <w:r w:rsidR="00AB153A">
        <w:t xml:space="preserve">of some </w:t>
      </w:r>
      <w:r w:rsidR="00977716">
        <w:t>restri</w:t>
      </w:r>
      <w:r w:rsidR="00AA767C">
        <w:t>ct</w:t>
      </w:r>
      <w:r w:rsidR="00AB153A">
        <w:t>io</w:t>
      </w:r>
      <w:r w:rsidR="00371209">
        <w:t>n</w:t>
      </w:r>
      <w:r w:rsidR="00AB153A">
        <w:t>s around physical contact with family members and some limited indoor mixing of households</w:t>
      </w:r>
      <w:r>
        <w:t xml:space="preserve">. </w:t>
      </w:r>
      <w:r w:rsidR="00454012">
        <w:t xml:space="preserve">Therefore, </w:t>
      </w:r>
      <w:r w:rsidR="00AB153A">
        <w:t xml:space="preserve">Ministers have </w:t>
      </w:r>
      <w:r w:rsidR="00613515">
        <w:t xml:space="preserve">agreed that </w:t>
      </w:r>
      <w:r w:rsidR="00E15362">
        <w:t xml:space="preserve">we can introduce </w:t>
      </w:r>
      <w:r w:rsidR="007F6A5A">
        <w:t xml:space="preserve">similar provisions </w:t>
      </w:r>
      <w:r w:rsidR="00BE7965">
        <w:t>for social visits in prisons.</w:t>
      </w:r>
    </w:p>
    <w:p w14:paraId="78AA4900" w14:textId="37BF8E6B" w:rsidR="00CD0760" w:rsidRDefault="00CD0760" w:rsidP="00C031DA"/>
    <w:p w14:paraId="4AC77DCE" w14:textId="45AB9602" w:rsidR="00CD0760" w:rsidRDefault="00CD0760" w:rsidP="00BD0380">
      <w:pPr>
        <w:jc w:val="both"/>
      </w:pPr>
      <w:r>
        <w:t>Public Health England (PHE) and Public Health Wales (PHW) are supportive of the prop</w:t>
      </w:r>
      <w:r w:rsidR="00D83303">
        <w:t>osed changes</w:t>
      </w:r>
      <w:r w:rsidR="00F369E1">
        <w:t xml:space="preserve"> for the reintroduction </w:t>
      </w:r>
      <w:r w:rsidR="008819F0">
        <w:t xml:space="preserve">of physical contact </w:t>
      </w:r>
      <w:r w:rsidR="004C7212">
        <w:t>with</w:t>
      </w:r>
      <w:r w:rsidR="008819F0">
        <w:t xml:space="preserve"> those </w:t>
      </w:r>
      <w:r w:rsidR="00460070">
        <w:t>under</w:t>
      </w:r>
      <w:r w:rsidR="00483121">
        <w:t xml:space="preserve"> 11</w:t>
      </w:r>
      <w:r w:rsidR="0024464D">
        <w:t xml:space="preserve">. While </w:t>
      </w:r>
      <w:r w:rsidR="00643B2E">
        <w:t xml:space="preserve">children of all ages are susceptible to and can transmit COVID-19, children in this younger </w:t>
      </w:r>
      <w:r w:rsidR="009A0CB2">
        <w:t xml:space="preserve">age group </w:t>
      </w:r>
      <w:r w:rsidR="00E42A01">
        <w:t xml:space="preserve">are not required to </w:t>
      </w:r>
      <w:r w:rsidR="00FD4D99">
        <w:t>undergo routine testing in the community</w:t>
      </w:r>
      <w:r w:rsidR="00A40ABF" w:rsidRPr="00A40ABF">
        <w:t xml:space="preserve"> </w:t>
      </w:r>
      <w:r w:rsidR="00A40ABF">
        <w:t>and are exempt from some other controls.</w:t>
      </w:r>
    </w:p>
    <w:p w14:paraId="405A6B9C" w14:textId="67DF251F" w:rsidR="00247BBA" w:rsidRDefault="00247BBA" w:rsidP="00C031DA"/>
    <w:p w14:paraId="34C3A40A" w14:textId="6A6E2290" w:rsidR="00887609" w:rsidRPr="00022E4B" w:rsidRDefault="00BE7965" w:rsidP="00BD0380">
      <w:pPr>
        <w:jc w:val="both"/>
      </w:pPr>
      <w:r>
        <w:t>Until now</w:t>
      </w:r>
      <w:r w:rsidR="00887609" w:rsidRPr="00022E4B">
        <w:t xml:space="preserve"> </w:t>
      </w:r>
      <w:r w:rsidR="00562961">
        <w:t xml:space="preserve">social </w:t>
      </w:r>
      <w:r w:rsidR="00887609" w:rsidRPr="00022E4B">
        <w:t>vis</w:t>
      </w:r>
      <w:r w:rsidR="000611DF" w:rsidRPr="00022E4B">
        <w:t xml:space="preserve">itors </w:t>
      </w:r>
      <w:r w:rsidR="00562961">
        <w:t>to prisons</w:t>
      </w:r>
      <w:r w:rsidR="000611DF" w:rsidRPr="00022E4B">
        <w:t xml:space="preserve"> </w:t>
      </w:r>
      <w:r w:rsidR="00562961">
        <w:t>must</w:t>
      </w:r>
      <w:r w:rsidR="000611DF" w:rsidRPr="00022E4B">
        <w:t xml:space="preserve"> com</w:t>
      </w:r>
      <w:r w:rsidR="00562961">
        <w:t>e</w:t>
      </w:r>
      <w:r w:rsidR="000611DF" w:rsidRPr="00022E4B">
        <w:t xml:space="preserve"> from single </w:t>
      </w:r>
      <w:r w:rsidR="00887609" w:rsidRPr="00022E4B">
        <w:t xml:space="preserve">households where all adults and children live </w:t>
      </w:r>
      <w:r w:rsidR="00460070">
        <w:t>together</w:t>
      </w:r>
      <w:r w:rsidR="00887609" w:rsidRPr="00022E4B">
        <w:t xml:space="preserve"> or are part of the same childcare bubble. </w:t>
      </w:r>
      <w:r w:rsidR="00562961">
        <w:t>W</w:t>
      </w:r>
      <w:r w:rsidR="00541296">
        <w:t>e</w:t>
      </w:r>
      <w:r w:rsidR="00022E4B" w:rsidRPr="00022E4B">
        <w:t xml:space="preserve"> are </w:t>
      </w:r>
      <w:r w:rsidR="00541296">
        <w:t xml:space="preserve">now </w:t>
      </w:r>
      <w:r w:rsidR="00022E4B" w:rsidRPr="00022E4B">
        <w:t xml:space="preserve">allowing for </w:t>
      </w:r>
      <w:r w:rsidR="00887609" w:rsidRPr="00022E4B">
        <w:t>adult</w:t>
      </w:r>
      <w:r w:rsidR="0064256C">
        <w:t>s</w:t>
      </w:r>
      <w:r w:rsidR="00887609" w:rsidRPr="00022E4B">
        <w:t xml:space="preserve"> and children </w:t>
      </w:r>
      <w:r w:rsidR="00022E4B" w:rsidRPr="00022E4B">
        <w:t xml:space="preserve">to come from </w:t>
      </w:r>
      <w:r w:rsidR="00887609" w:rsidRPr="00022E4B">
        <w:t xml:space="preserve">up to two households to attend one visit. This </w:t>
      </w:r>
      <w:r w:rsidR="00022E4B" w:rsidRPr="00022E4B">
        <w:t xml:space="preserve">is the </w:t>
      </w:r>
      <w:r w:rsidR="00887609" w:rsidRPr="00022E4B">
        <w:t xml:space="preserve"> equivalent </w:t>
      </w:r>
      <w:r w:rsidR="00022E4B" w:rsidRPr="00022E4B">
        <w:t>of the</w:t>
      </w:r>
      <w:r w:rsidR="00887609" w:rsidRPr="00022E4B">
        <w:t xml:space="preserve"> English </w:t>
      </w:r>
      <w:r w:rsidR="00022E4B" w:rsidRPr="00022E4B">
        <w:t xml:space="preserve">community </w:t>
      </w:r>
      <w:r w:rsidR="00887609" w:rsidRPr="00022E4B">
        <w:t>guidance on indoor mixing and, whilst there is no change to the rules on indoor mixing in</w:t>
      </w:r>
      <w:r w:rsidR="0037562D">
        <w:t xml:space="preserve"> homes</w:t>
      </w:r>
      <w:r w:rsidR="00887609" w:rsidRPr="00022E4B">
        <w:t xml:space="preserve"> </w:t>
      </w:r>
      <w:r w:rsidR="00022E4B" w:rsidRPr="00022E4B">
        <w:t xml:space="preserve">the community in </w:t>
      </w:r>
      <w:r w:rsidR="00887609" w:rsidRPr="00022E4B">
        <w:t xml:space="preserve">Wales at this time, the Welsh Government have confirmed that prisons </w:t>
      </w:r>
      <w:r w:rsidR="00022E4B" w:rsidRPr="00022E4B">
        <w:t>can</w:t>
      </w:r>
      <w:r w:rsidR="00887609" w:rsidRPr="00022E4B">
        <w:t xml:space="preserve"> apply the same rules</w:t>
      </w:r>
      <w:r w:rsidR="00D85900">
        <w:t>, as social visits are considered to be a regulated setting</w:t>
      </w:r>
      <w:r w:rsidR="00D85900" w:rsidRPr="00022E4B">
        <w:t>.</w:t>
      </w:r>
      <w:r w:rsidR="00022E4B" w:rsidRPr="00022E4B">
        <w:t>.</w:t>
      </w:r>
    </w:p>
    <w:p w14:paraId="76A01437" w14:textId="65E83A1C" w:rsidR="00247BBA" w:rsidRDefault="00247BBA" w:rsidP="00C031DA"/>
    <w:p w14:paraId="4FCC7D4E" w14:textId="1D57AB49" w:rsidR="00541296" w:rsidRDefault="000F2D47" w:rsidP="006E4C6E">
      <w:pPr>
        <w:jc w:val="both"/>
        <w:rPr>
          <w:rFonts w:asciiTheme="minorHAnsi" w:hAnsiTheme="minorHAnsi" w:cstheme="minorBidi"/>
        </w:rPr>
      </w:pPr>
      <w:r>
        <w:t>In making these changes</w:t>
      </w:r>
      <w:r w:rsidR="00341F45">
        <w:t xml:space="preserve"> to </w:t>
      </w:r>
      <w:r w:rsidR="00C6312C">
        <w:t>social visits</w:t>
      </w:r>
      <w:r w:rsidR="00BA2DEA">
        <w:t>,</w:t>
      </w:r>
      <w:r w:rsidR="004F064E">
        <w:t xml:space="preserve"> establishments </w:t>
      </w:r>
      <w:r w:rsidR="00EE1A97">
        <w:t xml:space="preserve">should </w:t>
      </w:r>
      <w:r w:rsidR="004F064E">
        <w:t>take account of the following</w:t>
      </w:r>
      <w:r w:rsidR="007F55EB">
        <w:t xml:space="preserve"> </w:t>
      </w:r>
      <w:r w:rsidR="006E4C6E">
        <w:t>considerations</w:t>
      </w:r>
      <w:r w:rsidR="007F55EB">
        <w:t>:</w:t>
      </w:r>
    </w:p>
    <w:p w14:paraId="72F006A7" w14:textId="77777777" w:rsidR="00541296" w:rsidRDefault="00541296" w:rsidP="00541296"/>
    <w:p w14:paraId="7E99C5E3" w14:textId="77777777" w:rsidR="0077370F" w:rsidRDefault="00BF7E77" w:rsidP="0077370F">
      <w:pPr>
        <w:pStyle w:val="ListParagraph"/>
        <w:numPr>
          <w:ilvl w:val="0"/>
          <w:numId w:val="9"/>
        </w:numPr>
        <w:jc w:val="both"/>
      </w:pPr>
      <w:r w:rsidRPr="004C7212">
        <w:t>Governors should keep under review whether physical contact in visits for those</w:t>
      </w:r>
      <w:r>
        <w:t xml:space="preserve"> under</w:t>
      </w:r>
      <w:r w:rsidRPr="004C7212">
        <w:t xml:space="preserve"> 11 should be paused at any time, if the prison is rated as being at a higher risk e.g. it experiences an outbreak or</w:t>
      </w:r>
      <w:r w:rsidRPr="00F01506">
        <w:t xml:space="preserve"> </w:t>
      </w:r>
      <w:r>
        <w:t>is at heightened risk due to the surrounding community outbreak situation.</w:t>
      </w:r>
    </w:p>
    <w:p w14:paraId="3ED6B565" w14:textId="5A6C0F74" w:rsidR="00BF7E77" w:rsidRPr="004C7212" w:rsidRDefault="0077370F" w:rsidP="0077370F">
      <w:pPr>
        <w:pStyle w:val="ListParagraph"/>
        <w:numPr>
          <w:ilvl w:val="0"/>
          <w:numId w:val="9"/>
        </w:numPr>
        <w:jc w:val="both"/>
      </w:pPr>
      <w:r>
        <w:t>Social visits should not take place if</w:t>
      </w:r>
      <w:r w:rsidR="002016A6">
        <w:t xml:space="preserve"> either the prisoner o</w:t>
      </w:r>
      <w:r>
        <w:t>r</w:t>
      </w:r>
      <w:r w:rsidR="002016A6">
        <w:t xml:space="preserve"> visitor is symptomatic</w:t>
      </w:r>
      <w:r>
        <w:t>.</w:t>
      </w:r>
    </w:p>
    <w:p w14:paraId="7D3C3564" w14:textId="7BA7059D" w:rsidR="00541296" w:rsidRPr="004C7212" w:rsidRDefault="00541296" w:rsidP="0077370F">
      <w:pPr>
        <w:pStyle w:val="ListParagraph"/>
        <w:numPr>
          <w:ilvl w:val="0"/>
          <w:numId w:val="9"/>
        </w:numPr>
        <w:jc w:val="both"/>
      </w:pPr>
      <w:r w:rsidRPr="004C7212">
        <w:t xml:space="preserve">There are no restrictions to the contact children </w:t>
      </w:r>
      <w:r w:rsidR="005726C3" w:rsidRPr="004C7212">
        <w:t>under</w:t>
      </w:r>
      <w:r w:rsidRPr="004C7212">
        <w:t xml:space="preserve"> 11 can have</w:t>
      </w:r>
      <w:r w:rsidR="00460070" w:rsidRPr="004C7212">
        <w:t xml:space="preserve"> with the person they are visiting</w:t>
      </w:r>
      <w:r w:rsidRPr="004C7212">
        <w:t xml:space="preserve">, </w:t>
      </w:r>
      <w:r w:rsidR="00BA2DEA" w:rsidRPr="004C7212">
        <w:t>provided</w:t>
      </w:r>
      <w:r w:rsidRPr="004C7212">
        <w:t xml:space="preserve"> it is in line with the prison’s normal rules.</w:t>
      </w:r>
    </w:p>
    <w:p w14:paraId="1D80D65C" w14:textId="77777777" w:rsidR="001428CC" w:rsidRPr="004C7212" w:rsidRDefault="00541296" w:rsidP="0077370F">
      <w:pPr>
        <w:pStyle w:val="ListParagraph"/>
        <w:numPr>
          <w:ilvl w:val="0"/>
          <w:numId w:val="9"/>
        </w:numPr>
        <w:jc w:val="both"/>
      </w:pPr>
      <w:r w:rsidRPr="004C7212">
        <w:t>Children can leave their seat but will need to stay in the area marked out during this visit.</w:t>
      </w:r>
    </w:p>
    <w:p w14:paraId="49E49127" w14:textId="70B2259C" w:rsidR="001428CC" w:rsidRPr="004C7212" w:rsidRDefault="00287323" w:rsidP="0077370F">
      <w:pPr>
        <w:pStyle w:val="ListParagraph"/>
        <w:numPr>
          <w:ilvl w:val="0"/>
          <w:numId w:val="9"/>
        </w:numPr>
        <w:jc w:val="both"/>
      </w:pPr>
      <w:r w:rsidRPr="004C7212">
        <w:t>V</w:t>
      </w:r>
      <w:r w:rsidR="001428CC" w:rsidRPr="004C7212">
        <w:t xml:space="preserve">isits halls should continue to operate with a reduced capacity to enable social distancing between visiting </w:t>
      </w:r>
      <w:r w:rsidR="004C7212" w:rsidRPr="004C7212">
        <w:t>groups</w:t>
      </w:r>
      <w:r w:rsidR="00460070" w:rsidRPr="004C7212">
        <w:t xml:space="preserve"> and </w:t>
      </w:r>
      <w:r w:rsidR="001064B9">
        <w:t xml:space="preserve">maximising </w:t>
      </w:r>
      <w:r w:rsidR="00460070" w:rsidRPr="004C7212">
        <w:t>ventilation should remain a control measure</w:t>
      </w:r>
      <w:r w:rsidR="001428CC" w:rsidRPr="004C7212">
        <w:t xml:space="preserve">; </w:t>
      </w:r>
    </w:p>
    <w:p w14:paraId="09D93FEF" w14:textId="486C3A07" w:rsidR="00541296" w:rsidRDefault="00460070" w:rsidP="0077370F">
      <w:pPr>
        <w:pStyle w:val="ListParagraph"/>
        <w:numPr>
          <w:ilvl w:val="0"/>
          <w:numId w:val="9"/>
        </w:numPr>
        <w:jc w:val="both"/>
      </w:pPr>
      <w:r w:rsidRPr="004C7212">
        <w:t>F</w:t>
      </w:r>
      <w:r w:rsidR="001428CC" w:rsidRPr="004C7212">
        <w:t>ace coverings (for adults), good hand hygiene</w:t>
      </w:r>
      <w:r w:rsidR="00994673">
        <w:t xml:space="preserve"> (for all)</w:t>
      </w:r>
      <w:r w:rsidR="001428CC" w:rsidRPr="004C7212">
        <w:t xml:space="preserve"> and cleaning protocols should remain in place as crucial infection prevention measures.</w:t>
      </w:r>
    </w:p>
    <w:p w14:paraId="2BBAAFFF" w14:textId="61E9F75C" w:rsidR="00994673" w:rsidRPr="004C7212" w:rsidRDefault="00994673" w:rsidP="0077370F">
      <w:pPr>
        <w:pStyle w:val="ListParagraph"/>
        <w:numPr>
          <w:ilvl w:val="0"/>
          <w:numId w:val="9"/>
        </w:numPr>
        <w:jc w:val="both"/>
      </w:pPr>
      <w:r>
        <w:t xml:space="preserve">Care should be taken to support visitors to maintain distance and minimise contacts when visitors are moving along access routes to and from visits halls. </w:t>
      </w:r>
    </w:p>
    <w:p w14:paraId="4D1B6107" w14:textId="7787189E" w:rsidR="00541296" w:rsidRPr="004C7212" w:rsidRDefault="00541296" w:rsidP="0077370F">
      <w:pPr>
        <w:pStyle w:val="ListParagraph"/>
        <w:numPr>
          <w:ilvl w:val="0"/>
          <w:numId w:val="9"/>
        </w:numPr>
        <w:jc w:val="both"/>
      </w:pPr>
      <w:r w:rsidRPr="004C7212">
        <w:lastRenderedPageBreak/>
        <w:t>Everyone on the visit will need to follow social distancing guidance when they are arriving or leaving the visits hall</w:t>
      </w:r>
      <w:r w:rsidR="004F160C" w:rsidRPr="004C7212">
        <w:t xml:space="preserve"> so we</w:t>
      </w:r>
      <w:r w:rsidRPr="004C7212">
        <w:t xml:space="preserve"> can continue with social distancing between people who don’t know each other which is in line with the community guidance.</w:t>
      </w:r>
    </w:p>
    <w:p w14:paraId="0F85E21D" w14:textId="2920827F" w:rsidR="00862327" w:rsidRPr="004C7212" w:rsidRDefault="00460070" w:rsidP="0077370F">
      <w:pPr>
        <w:pStyle w:val="ListParagraph"/>
        <w:numPr>
          <w:ilvl w:val="0"/>
          <w:numId w:val="9"/>
        </w:numPr>
        <w:jc w:val="both"/>
      </w:pPr>
      <w:r w:rsidRPr="004C7212">
        <w:t>A</w:t>
      </w:r>
      <w:r w:rsidR="00862327" w:rsidRPr="004C7212">
        <w:t xml:space="preserve">ll adults </w:t>
      </w:r>
      <w:r w:rsidR="00767FF8" w:rsidRPr="004C7212">
        <w:t xml:space="preserve">attending visits </w:t>
      </w:r>
      <w:r w:rsidR="00267BD1" w:rsidRPr="004C7212">
        <w:t xml:space="preserve">should be encouraged </w:t>
      </w:r>
      <w:r w:rsidR="00862327" w:rsidRPr="004C7212">
        <w:t xml:space="preserve">to access testing in the community the </w:t>
      </w:r>
      <w:r w:rsidR="00770649">
        <w:t>day before the visit and</w:t>
      </w:r>
      <w:r w:rsidR="007E628A">
        <w:t xml:space="preserve"> on the</w:t>
      </w:r>
      <w:r w:rsidR="00770649">
        <w:t xml:space="preserve"> </w:t>
      </w:r>
      <w:r w:rsidR="00862327" w:rsidRPr="004C7212">
        <w:t xml:space="preserve">day of a visit (in England), or to accept the offer of an onsite test (at those prisons where this is being piloted). We are seeking agreement from the Welsh Government for visitors to gain access to community testing for the purpose of prison visits. </w:t>
      </w:r>
    </w:p>
    <w:p w14:paraId="1E403599" w14:textId="5F413CFB" w:rsidR="00862327" w:rsidRPr="004C7212" w:rsidRDefault="00862327" w:rsidP="0077370F">
      <w:pPr>
        <w:pStyle w:val="ListParagraph"/>
        <w:numPr>
          <w:ilvl w:val="0"/>
          <w:numId w:val="9"/>
        </w:numPr>
        <w:jc w:val="both"/>
      </w:pPr>
      <w:r w:rsidRPr="004C7212">
        <w:t xml:space="preserve">Prisons </w:t>
      </w:r>
      <w:r w:rsidR="00267BD1" w:rsidRPr="004C7212">
        <w:t>are</w:t>
      </w:r>
      <w:r w:rsidRPr="004C7212">
        <w:t xml:space="preserve"> encouraged to provide testing for prisoners before and after visits where resourcing allows. This </w:t>
      </w:r>
      <w:r w:rsidR="0007705D" w:rsidRPr="004C7212">
        <w:t>is</w:t>
      </w:r>
      <w:r w:rsidRPr="004C7212">
        <w:t xml:space="preserve"> not mandatory </w:t>
      </w:r>
      <w:r w:rsidR="0007705D" w:rsidRPr="004C7212">
        <w:t>as we recognise the challenges this creates</w:t>
      </w:r>
      <w:r w:rsidR="006D6BD4" w:rsidRPr="004C7212">
        <w:t xml:space="preserve"> </w:t>
      </w:r>
      <w:r w:rsidRPr="004C7212">
        <w:t xml:space="preserve">but </w:t>
      </w:r>
      <w:r w:rsidR="00267BD1" w:rsidRPr="004C7212">
        <w:t xml:space="preserve">is </w:t>
      </w:r>
      <w:r w:rsidR="00460070" w:rsidRPr="004C7212">
        <w:t>best practice</w:t>
      </w:r>
      <w:r w:rsidRPr="004C7212">
        <w:t xml:space="preserve">. </w:t>
      </w:r>
    </w:p>
    <w:p w14:paraId="2054F7DD" w14:textId="28B73394" w:rsidR="00862327" w:rsidRPr="00221787" w:rsidRDefault="006D6BD4" w:rsidP="0077370F">
      <w:pPr>
        <w:pStyle w:val="ListParagraph"/>
        <w:numPr>
          <w:ilvl w:val="0"/>
          <w:numId w:val="9"/>
        </w:numPr>
        <w:jc w:val="both"/>
      </w:pPr>
      <w:r>
        <w:t>I</w:t>
      </w:r>
      <w:r w:rsidR="00862327" w:rsidRPr="00221787">
        <w:t xml:space="preserve">t is </w:t>
      </w:r>
      <w:r>
        <w:t xml:space="preserve">not </w:t>
      </w:r>
      <w:r w:rsidR="00862327" w:rsidRPr="00221787">
        <w:t xml:space="preserve">necessary </w:t>
      </w:r>
      <w:r>
        <w:t>or</w:t>
      </w:r>
      <w:r w:rsidR="00862327" w:rsidRPr="00221787">
        <w:t xml:space="preserve"> proportionate to introduce reverse </w:t>
      </w:r>
      <w:proofErr w:type="spellStart"/>
      <w:r w:rsidR="00862327" w:rsidRPr="00221787">
        <w:t>cohorting</w:t>
      </w:r>
      <w:proofErr w:type="spellEnd"/>
      <w:r w:rsidR="00862327" w:rsidRPr="00221787">
        <w:t xml:space="preserve"> for prisoners after a visit.</w:t>
      </w:r>
    </w:p>
    <w:p w14:paraId="65286025" w14:textId="2D9939E2" w:rsidR="00256BC5" w:rsidRDefault="00256BC5" w:rsidP="0077370F">
      <w:pPr>
        <w:pStyle w:val="Heading1"/>
        <w:jc w:val="both"/>
        <w:rPr>
          <w:iCs/>
        </w:rPr>
      </w:pPr>
    </w:p>
    <w:p w14:paraId="6A4E6D50" w14:textId="7251A1BC" w:rsidR="00EC1619" w:rsidRDefault="00115D9E" w:rsidP="0077370F">
      <w:pPr>
        <w:jc w:val="both"/>
      </w:pPr>
      <w:r>
        <w:t>A</w:t>
      </w:r>
      <w:r w:rsidR="00EC1619">
        <w:t xml:space="preserve">ttached </w:t>
      </w:r>
      <w:r>
        <w:t>here are</w:t>
      </w:r>
      <w:r w:rsidR="00EC1619">
        <w:t xml:space="preserve"> some communications materials to </w:t>
      </w:r>
      <w:r w:rsidR="009D5686">
        <w:t>support you in</w:t>
      </w:r>
      <w:r w:rsidR="00EC1619">
        <w:t xml:space="preserve"> </w:t>
      </w:r>
      <w:r w:rsidR="00480913">
        <w:t>conversations</w:t>
      </w:r>
      <w:r w:rsidR="009D5686">
        <w:t xml:space="preserve"> with staff, prisoners and their families about these changes</w:t>
      </w:r>
    </w:p>
    <w:p w14:paraId="710A918E" w14:textId="4A707BE8" w:rsidR="008D5D90" w:rsidRDefault="008D5D90" w:rsidP="0077370F">
      <w:pPr>
        <w:jc w:val="both"/>
      </w:pPr>
    </w:p>
    <w:bookmarkStart w:id="0" w:name="_MON_1683627585"/>
    <w:bookmarkEnd w:id="0"/>
    <w:p w14:paraId="6DD21851" w14:textId="4DE05C38" w:rsidR="00797E10" w:rsidRDefault="003074C3" w:rsidP="0077370F">
      <w:pPr>
        <w:jc w:val="both"/>
      </w:pPr>
      <w:r>
        <w:object w:dxaOrig="1533" w:dyaOrig="990" w14:anchorId="7DE9C4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6.5pt;height:49.5pt" o:ole="">
            <v:imagedata r:id="rId8" o:title=""/>
          </v:shape>
          <o:OLEObject Type="Embed" ProgID="Word.Document.12" ShapeID="_x0000_i1031" DrawAspect="Icon" ObjectID="_1683627816" r:id="rId9">
            <o:FieldCodes>\s</o:FieldCodes>
          </o:OLEObject>
        </w:object>
      </w:r>
      <w:r>
        <w:tab/>
      </w:r>
      <w:bookmarkStart w:id="1" w:name="_GoBack"/>
      <w:bookmarkStart w:id="2" w:name="_MON_1683627814"/>
      <w:bookmarkEnd w:id="2"/>
      <w:r w:rsidR="0092513F">
        <w:object w:dxaOrig="1533" w:dyaOrig="990" w14:anchorId="5D86D0A0">
          <v:shape id="_x0000_i1026" type="#_x0000_t75" style="width:76.5pt;height:49.5pt" o:ole="">
            <v:imagedata r:id="rId10" o:title=""/>
          </v:shape>
          <o:OLEObject Type="Embed" ProgID="Word.Document.12" ShapeID="_x0000_i1026" DrawAspect="Icon" ObjectID="_1683627817" r:id="rId11">
            <o:FieldCodes>\s</o:FieldCodes>
          </o:OLEObject>
        </w:object>
      </w:r>
      <w:bookmarkEnd w:id="1"/>
      <w:r w:rsidR="003E4980">
        <w:tab/>
      </w:r>
      <w:bookmarkStart w:id="3" w:name="_MON_1683627760"/>
      <w:bookmarkEnd w:id="3"/>
      <w:r>
        <w:object w:dxaOrig="1533" w:dyaOrig="990" w14:anchorId="1911C8F4">
          <v:shape id="_x0000_i1034" type="#_x0000_t75" style="width:76.5pt;height:49.5pt" o:ole="">
            <v:imagedata r:id="rId12" o:title=""/>
          </v:shape>
          <o:OLEObject Type="Embed" ProgID="Word.Document.12" ShapeID="_x0000_i1034" DrawAspect="Icon" ObjectID="_1683627818" r:id="rId13">
            <o:FieldCodes>\s</o:FieldCodes>
          </o:OLEObject>
        </w:object>
      </w:r>
    </w:p>
    <w:p w14:paraId="0E1EE7D7" w14:textId="77777777" w:rsidR="003074C3" w:rsidRDefault="003074C3" w:rsidP="0077370F">
      <w:pPr>
        <w:jc w:val="both"/>
      </w:pPr>
    </w:p>
    <w:p w14:paraId="59DA5264" w14:textId="7F0AE1BD" w:rsidR="00700DB3" w:rsidRDefault="00700DB3" w:rsidP="00700DB3">
      <w:pPr>
        <w:rPr>
          <w:rFonts w:eastAsia="Times New Roman"/>
        </w:rPr>
      </w:pPr>
      <w:r>
        <w:rPr>
          <w:rFonts w:eastAsia="Times New Roman"/>
        </w:rPr>
        <w:t>Products for the youth estate will be sent directly to those governors and posters and social media templates will follow later this week.</w:t>
      </w:r>
    </w:p>
    <w:p w14:paraId="5F830452" w14:textId="77777777" w:rsidR="00700DB3" w:rsidRDefault="00700DB3" w:rsidP="00700DB3">
      <w:pPr>
        <w:rPr>
          <w:rFonts w:eastAsia="Times New Roman"/>
        </w:rPr>
      </w:pPr>
    </w:p>
    <w:p w14:paraId="2797A111" w14:textId="77777777" w:rsidR="00700DB3" w:rsidRDefault="00700DB3" w:rsidP="00700DB3">
      <w:pPr>
        <w:rPr>
          <w:rFonts w:eastAsia="Times New Roman"/>
        </w:rPr>
      </w:pPr>
      <w:r>
        <w:rPr>
          <w:rFonts w:eastAsia="Times New Roman"/>
        </w:rPr>
        <w:t xml:space="preserve">We will be sharing the core lines with Prison Radio later today in order to run tomorrow and will be updating </w:t>
      </w:r>
      <w:hyperlink r:id="rId14" w:history="1">
        <w:r>
          <w:rPr>
            <w:rStyle w:val="Hyperlink"/>
            <w:rFonts w:eastAsia="Times New Roman"/>
          </w:rPr>
          <w:t>gov.uk</w:t>
        </w:r>
      </w:hyperlink>
      <w:r>
        <w:rPr>
          <w:rFonts w:eastAsia="Times New Roman"/>
        </w:rPr>
        <w:t> and the HMPPS social media account. The visits booking line will also be updated.</w:t>
      </w:r>
    </w:p>
    <w:p w14:paraId="62425366" w14:textId="77777777" w:rsidR="00700DB3" w:rsidRPr="00EC1619" w:rsidRDefault="00700DB3" w:rsidP="0077370F">
      <w:pPr>
        <w:jc w:val="both"/>
      </w:pPr>
    </w:p>
    <w:p w14:paraId="22A40AF9" w14:textId="77777777" w:rsidR="00EC1619" w:rsidRPr="00EC1619" w:rsidRDefault="00EC1619" w:rsidP="00EC1619"/>
    <w:p w14:paraId="130E8453" w14:textId="43213561" w:rsidR="0024628E" w:rsidRPr="002350EA" w:rsidRDefault="00105CAE" w:rsidP="002350EA">
      <w:pPr>
        <w:jc w:val="both"/>
        <w:rPr>
          <w:u w:val="single"/>
        </w:rPr>
      </w:pPr>
      <w:r w:rsidRPr="002350EA">
        <w:rPr>
          <w:u w:val="single"/>
        </w:rPr>
        <w:t xml:space="preserve">Physical Contact with </w:t>
      </w:r>
      <w:r w:rsidR="0024628E" w:rsidRPr="002350EA">
        <w:rPr>
          <w:u w:val="single"/>
        </w:rPr>
        <w:t xml:space="preserve">older children and adults </w:t>
      </w:r>
    </w:p>
    <w:p w14:paraId="6C09A174" w14:textId="77777777" w:rsidR="002350EA" w:rsidRPr="002350EA" w:rsidRDefault="002350EA" w:rsidP="002350EA">
      <w:pPr>
        <w:jc w:val="both"/>
      </w:pPr>
    </w:p>
    <w:p w14:paraId="3989389E" w14:textId="11F0CE49" w:rsidR="00105CAE" w:rsidRDefault="00105CAE" w:rsidP="002350EA">
      <w:pPr>
        <w:jc w:val="both"/>
      </w:pPr>
      <w:r w:rsidRPr="002350EA">
        <w:t xml:space="preserve">At this stage we are not reintroducing physical contact between prisoners and older children (i.e. </w:t>
      </w:r>
      <w:r w:rsidR="00397AE4">
        <w:t>11</w:t>
      </w:r>
      <w:r w:rsidR="003C1598">
        <w:t xml:space="preserve"> years or over</w:t>
      </w:r>
      <w:r w:rsidR="00397AE4">
        <w:t>)</w:t>
      </w:r>
      <w:r w:rsidRPr="002350EA">
        <w:t xml:space="preserve"> or </w:t>
      </w:r>
      <w:r w:rsidR="00B62040" w:rsidRPr="002350EA">
        <w:t>adults because of the increased risk of transmission posed. PHE and PHW support our phased approach.</w:t>
      </w:r>
    </w:p>
    <w:p w14:paraId="02D4AA7C" w14:textId="77777777" w:rsidR="002350EA" w:rsidRPr="002350EA" w:rsidRDefault="002350EA" w:rsidP="002350EA">
      <w:pPr>
        <w:jc w:val="both"/>
      </w:pPr>
    </w:p>
    <w:p w14:paraId="5BE743E7" w14:textId="3F0C085B" w:rsidR="0024628E" w:rsidRDefault="00C7788C" w:rsidP="002350EA">
      <w:pPr>
        <w:jc w:val="both"/>
      </w:pPr>
      <w:r>
        <w:t>W</w:t>
      </w:r>
      <w:r w:rsidR="00B072B4">
        <w:t>e are</w:t>
      </w:r>
      <w:r w:rsidR="00B62040" w:rsidRPr="002350EA">
        <w:t xml:space="preserve"> </w:t>
      </w:r>
      <w:r>
        <w:t>h</w:t>
      </w:r>
      <w:r w:rsidRPr="002350EA">
        <w:t>owever</w:t>
      </w:r>
      <w:r w:rsidRPr="00397AE4">
        <w:t xml:space="preserve">, </w:t>
      </w:r>
      <w:r w:rsidR="00316EFD" w:rsidRPr="00397AE4">
        <w:t>exploring the extension</w:t>
      </w:r>
      <w:r w:rsidR="00316EFD">
        <w:t xml:space="preserve"> of</w:t>
      </w:r>
      <w:r w:rsidR="0024628E" w:rsidRPr="002350EA">
        <w:t xml:space="preserve"> the existing </w:t>
      </w:r>
      <w:r w:rsidR="004E709D">
        <w:t xml:space="preserve">pilots that have introduced testing ahead of </w:t>
      </w:r>
      <w:r w:rsidR="002350EA" w:rsidRPr="002350EA">
        <w:t xml:space="preserve">social visits </w:t>
      </w:r>
      <w:r w:rsidR="00316EFD">
        <w:t>and</w:t>
      </w:r>
      <w:r w:rsidR="0024628E" w:rsidRPr="002350EA">
        <w:t xml:space="preserve"> require any visitor age 11</w:t>
      </w:r>
      <w:r w:rsidR="009A10A8">
        <w:t xml:space="preserve"> or over</w:t>
      </w:r>
      <w:r w:rsidR="0024628E" w:rsidRPr="002350EA">
        <w:t xml:space="preserve"> to accept the offer of an on-site LFD test before being permitted physical contact during the visit (face coverings will still be required). This work will include consideration of whether we can move more quickly in the youth estate. </w:t>
      </w:r>
      <w:r w:rsidR="00316EFD">
        <w:t>Further communication will be issued to these sites in due course and no contact should be permitted at this stage.</w:t>
      </w:r>
    </w:p>
    <w:p w14:paraId="1C3ECD8F" w14:textId="3060A358" w:rsidR="00305355" w:rsidRDefault="00305355" w:rsidP="002350EA">
      <w:pPr>
        <w:jc w:val="both"/>
      </w:pPr>
    </w:p>
    <w:p w14:paraId="066729E2" w14:textId="17C1A57D" w:rsidR="00305355" w:rsidRPr="002350EA" w:rsidRDefault="00305355" w:rsidP="002350EA">
      <w:pPr>
        <w:jc w:val="both"/>
      </w:pPr>
      <w:r>
        <w:t xml:space="preserve">We will keep you informed </w:t>
      </w:r>
      <w:r w:rsidR="007D0870">
        <w:t>of the outcome of these pilots.</w:t>
      </w:r>
    </w:p>
    <w:p w14:paraId="67F6D9CD" w14:textId="77777777" w:rsidR="0024628E" w:rsidRDefault="0024628E" w:rsidP="00B166B9">
      <w:pPr>
        <w:rPr>
          <w:sz w:val="24"/>
          <w:szCs w:val="24"/>
        </w:rPr>
      </w:pPr>
    </w:p>
    <w:p w14:paraId="30673062" w14:textId="65559F09" w:rsidR="000B4D10" w:rsidRPr="00480913" w:rsidRDefault="007D0870" w:rsidP="00480913">
      <w:pPr>
        <w:jc w:val="both"/>
        <w:rPr>
          <w:u w:val="single"/>
        </w:rPr>
      </w:pPr>
      <w:r w:rsidRPr="00480913">
        <w:rPr>
          <w:u w:val="single"/>
        </w:rPr>
        <w:t xml:space="preserve">Visitors from areas effected </w:t>
      </w:r>
      <w:r w:rsidR="002C7F1A" w:rsidRPr="00480913">
        <w:rPr>
          <w:u w:val="single"/>
        </w:rPr>
        <w:t>by Variants of Concern</w:t>
      </w:r>
    </w:p>
    <w:p w14:paraId="20C301F3" w14:textId="77777777" w:rsidR="002C7F1A" w:rsidRDefault="002C7F1A" w:rsidP="00B166B9">
      <w:pPr>
        <w:rPr>
          <w:sz w:val="24"/>
          <w:szCs w:val="24"/>
        </w:rPr>
      </w:pPr>
    </w:p>
    <w:p w14:paraId="2221D642" w14:textId="4D36F93F" w:rsidR="00B37AF5" w:rsidRPr="002C7F1A" w:rsidRDefault="000B4D10" w:rsidP="002C7F1A">
      <w:pPr>
        <w:jc w:val="both"/>
      </w:pPr>
      <w:r>
        <w:t>As set out in the Gold Br</w:t>
      </w:r>
      <w:r w:rsidR="00C20A0F">
        <w:t>iefing of 25 May regarding Variants of Concern (VOC)</w:t>
      </w:r>
      <w:r w:rsidR="00A42E55">
        <w:t>, s</w:t>
      </w:r>
      <w:r w:rsidR="00B37AF5" w:rsidRPr="002C7F1A">
        <w:t>ocial visits, where available</w:t>
      </w:r>
      <w:r w:rsidR="00BD68FC" w:rsidRPr="002C7F1A">
        <w:t>, should</w:t>
      </w:r>
      <w:r w:rsidR="00B37AF5" w:rsidRPr="002C7F1A">
        <w:t xml:space="preserve"> continue to be run in a COVID secure manner.  Visitors from areas effected by a VOC are advised to stay local but this is not a stay-at-home directive.  We should encourage all social visitors from such areas to be mindful of both the necessity and the potential risk to health of their visit. We are however not specifically instructing visitors to stay away.</w:t>
      </w:r>
    </w:p>
    <w:p w14:paraId="0725681D" w14:textId="77777777" w:rsidR="00B37AF5" w:rsidRPr="002C7F1A" w:rsidRDefault="00B37AF5" w:rsidP="002C7F1A">
      <w:pPr>
        <w:jc w:val="both"/>
      </w:pPr>
    </w:p>
    <w:p w14:paraId="3CA17EFC" w14:textId="5EF819AE" w:rsidR="00C00059" w:rsidRPr="002C7F1A" w:rsidRDefault="00B37AF5" w:rsidP="002C7F1A">
      <w:pPr>
        <w:jc w:val="both"/>
      </w:pPr>
      <w:r w:rsidRPr="002C7F1A">
        <w:t xml:space="preserve">If any visitors from an area effected by a </w:t>
      </w:r>
      <w:proofErr w:type="spellStart"/>
      <w:r w:rsidRPr="002C7F1A">
        <w:t>V</w:t>
      </w:r>
      <w:r w:rsidR="002C57B4" w:rsidRPr="002C7F1A">
        <w:t>o</w:t>
      </w:r>
      <w:r w:rsidRPr="002C7F1A">
        <w:t>C</w:t>
      </w:r>
      <w:proofErr w:type="spellEnd"/>
      <w:r w:rsidR="006D3EBB">
        <w:t xml:space="preserve"> </w:t>
      </w:r>
      <w:r w:rsidRPr="002C7F1A">
        <w:t>do decide to cancel their visit</w:t>
      </w:r>
      <w:r w:rsidR="006D3EBB">
        <w:t>, or</w:t>
      </w:r>
      <w:r w:rsidR="00500927">
        <w:t>,</w:t>
      </w:r>
      <w:r w:rsidR="006D3EBB">
        <w:t xml:space="preserve"> for example</w:t>
      </w:r>
      <w:r w:rsidR="00500927">
        <w:t>,</w:t>
      </w:r>
      <w:r w:rsidR="006D3EBB">
        <w:t xml:space="preserve"> if they are required to self-isolate</w:t>
      </w:r>
      <w:r w:rsidR="00500927">
        <w:t xml:space="preserve"> and cannot attend</w:t>
      </w:r>
      <w:r w:rsidRPr="002C7F1A">
        <w:t xml:space="preserve">, then establishments should </w:t>
      </w:r>
      <w:r w:rsidR="00500927">
        <w:t xml:space="preserve">continue to </w:t>
      </w:r>
      <w:r w:rsidRPr="002C7F1A">
        <w:t>ensure that the prisoner is given an opportunity to contact their family/friends by video call or telephone.</w:t>
      </w:r>
    </w:p>
    <w:p w14:paraId="5B749488" w14:textId="48C9469D" w:rsidR="008F22DB" w:rsidRDefault="008F22DB" w:rsidP="00473554">
      <w:pPr>
        <w:jc w:val="both"/>
        <w:rPr>
          <w:sz w:val="24"/>
          <w:szCs w:val="24"/>
        </w:rPr>
      </w:pPr>
    </w:p>
    <w:p w14:paraId="6CA6D158" w14:textId="77777777" w:rsidR="002C57B4" w:rsidRDefault="002C57B4" w:rsidP="00473554">
      <w:pPr>
        <w:jc w:val="both"/>
        <w:rPr>
          <w:sz w:val="24"/>
          <w:szCs w:val="24"/>
        </w:rPr>
      </w:pPr>
    </w:p>
    <w:p w14:paraId="14B382C8" w14:textId="3D0535D8" w:rsidR="008F22DB" w:rsidRPr="00942214" w:rsidRDefault="008F22DB" w:rsidP="00697F02">
      <w:pPr>
        <w:jc w:val="both"/>
        <w:rPr>
          <w:b/>
          <w:bCs/>
          <w:sz w:val="24"/>
          <w:szCs w:val="24"/>
        </w:rPr>
      </w:pPr>
      <w:r w:rsidRPr="00942214">
        <w:rPr>
          <w:b/>
          <w:bCs/>
          <w:sz w:val="24"/>
          <w:szCs w:val="24"/>
        </w:rPr>
        <w:t>Covid</w:t>
      </w:r>
      <w:r w:rsidR="00834962">
        <w:rPr>
          <w:b/>
          <w:bCs/>
          <w:sz w:val="24"/>
          <w:szCs w:val="24"/>
        </w:rPr>
        <w:t>-19</w:t>
      </w:r>
      <w:r w:rsidRPr="00942214">
        <w:rPr>
          <w:b/>
          <w:bCs/>
          <w:sz w:val="24"/>
          <w:szCs w:val="24"/>
        </w:rPr>
        <w:t xml:space="preserve"> Gold Command</w:t>
      </w:r>
    </w:p>
    <w:p w14:paraId="159DD12C" w14:textId="3296ECE9" w:rsidR="008F22DB" w:rsidRPr="00942214" w:rsidRDefault="008F22DB" w:rsidP="00697F02">
      <w:pPr>
        <w:jc w:val="both"/>
        <w:rPr>
          <w:b/>
          <w:bCs/>
          <w:sz w:val="24"/>
          <w:szCs w:val="24"/>
        </w:rPr>
      </w:pPr>
      <w:r w:rsidRPr="00942214">
        <w:rPr>
          <w:b/>
          <w:bCs/>
          <w:sz w:val="24"/>
          <w:szCs w:val="24"/>
        </w:rPr>
        <w:t>2</w:t>
      </w:r>
      <w:r w:rsidR="006E7967">
        <w:rPr>
          <w:b/>
          <w:bCs/>
          <w:sz w:val="24"/>
          <w:szCs w:val="24"/>
        </w:rPr>
        <w:t>7</w:t>
      </w:r>
      <w:r w:rsidRPr="00942214">
        <w:rPr>
          <w:b/>
          <w:bCs/>
          <w:sz w:val="24"/>
          <w:szCs w:val="24"/>
        </w:rPr>
        <w:t xml:space="preserve"> May 2021</w:t>
      </w:r>
    </w:p>
    <w:sectPr w:rsidR="008F22DB" w:rsidRPr="009422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86B76"/>
    <w:multiLevelType w:val="hybridMultilevel"/>
    <w:tmpl w:val="C7267E0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 w15:restartNumberingAfterBreak="0">
    <w:nsid w:val="341A796A"/>
    <w:multiLevelType w:val="hybridMultilevel"/>
    <w:tmpl w:val="D61229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A1D3822"/>
    <w:multiLevelType w:val="hybridMultilevel"/>
    <w:tmpl w:val="799E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0C7B55"/>
    <w:multiLevelType w:val="hybridMultilevel"/>
    <w:tmpl w:val="961AEB42"/>
    <w:lvl w:ilvl="0" w:tplc="428C82F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3C04E2F"/>
    <w:multiLevelType w:val="hybridMultilevel"/>
    <w:tmpl w:val="3F4E100E"/>
    <w:lvl w:ilvl="0" w:tplc="6AA47D10">
      <w:start w:val="1"/>
      <w:numFmt w:val="decimal"/>
      <w:pStyle w:val="NoSpacing"/>
      <w:lvlText w:val="%1."/>
      <w:lvlJc w:val="left"/>
      <w:pPr>
        <w:ind w:left="720" w:hanging="360"/>
      </w:pPr>
      <w:rPr>
        <w:b w:val="0"/>
        <w:bCs/>
      </w:rPr>
    </w:lvl>
    <w:lvl w:ilvl="1" w:tplc="08090019">
      <w:start w:val="1"/>
      <w:numFmt w:val="lowerLetter"/>
      <w:lvlText w:val="%2."/>
      <w:lvlJc w:val="left"/>
      <w:pPr>
        <w:ind w:left="1440" w:hanging="360"/>
      </w:pPr>
    </w:lvl>
    <w:lvl w:ilvl="2" w:tplc="B4D603A8">
      <w:start w:val="1"/>
      <w:numFmt w:val="lowerRoman"/>
      <w:lvlText w:val="%3."/>
      <w:lvlJc w:val="right"/>
      <w:pPr>
        <w:ind w:left="2160" w:hanging="180"/>
      </w:pPr>
      <w:rPr>
        <w:i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FD3EE6"/>
    <w:multiLevelType w:val="hybridMultilevel"/>
    <w:tmpl w:val="83F49C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0296FAA"/>
    <w:multiLevelType w:val="hybridMultilevel"/>
    <w:tmpl w:val="14EA9C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59E635F"/>
    <w:multiLevelType w:val="hybridMultilevel"/>
    <w:tmpl w:val="DF94E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31C00"/>
    <w:multiLevelType w:val="hybridMultilevel"/>
    <w:tmpl w:val="CC66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7C118E"/>
    <w:multiLevelType w:val="hybridMultilevel"/>
    <w:tmpl w:val="57A6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6"/>
  </w:num>
  <w:num w:numId="5">
    <w:abstractNumId w:val="5"/>
  </w:num>
  <w:num w:numId="6">
    <w:abstractNumId w:val="9"/>
  </w:num>
  <w:num w:numId="7">
    <w:abstractNumId w:val="1"/>
  </w:num>
  <w:num w:numId="8">
    <w:abstractNumId w:val="3"/>
  </w:num>
  <w:num w:numId="9">
    <w:abstractNumId w:val="7"/>
  </w:num>
  <w:num w:numId="10">
    <w:abstractNumId w:val="4"/>
    <w:lvlOverride w:ilvl="0">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B9"/>
    <w:rsid w:val="00022E4B"/>
    <w:rsid w:val="00032360"/>
    <w:rsid w:val="000611DF"/>
    <w:rsid w:val="0007354A"/>
    <w:rsid w:val="0007705D"/>
    <w:rsid w:val="00094370"/>
    <w:rsid w:val="000A2BE8"/>
    <w:rsid w:val="000B4D10"/>
    <w:rsid w:val="000B6898"/>
    <w:rsid w:val="000C5D9B"/>
    <w:rsid w:val="000F2D47"/>
    <w:rsid w:val="00105CAE"/>
    <w:rsid w:val="001064B9"/>
    <w:rsid w:val="00115D9E"/>
    <w:rsid w:val="001428CC"/>
    <w:rsid w:val="00174471"/>
    <w:rsid w:val="001B0E43"/>
    <w:rsid w:val="001C1CA3"/>
    <w:rsid w:val="001D2606"/>
    <w:rsid w:val="001F1DD3"/>
    <w:rsid w:val="001F6269"/>
    <w:rsid w:val="002016A6"/>
    <w:rsid w:val="0021165B"/>
    <w:rsid w:val="00221787"/>
    <w:rsid w:val="002350EA"/>
    <w:rsid w:val="0024464D"/>
    <w:rsid w:val="0024628E"/>
    <w:rsid w:val="00247BBA"/>
    <w:rsid w:val="00256BC5"/>
    <w:rsid w:val="00262CC6"/>
    <w:rsid w:val="00267BD1"/>
    <w:rsid w:val="00285F7E"/>
    <w:rsid w:val="00287323"/>
    <w:rsid w:val="00292644"/>
    <w:rsid w:val="0029395E"/>
    <w:rsid w:val="002957B8"/>
    <w:rsid w:val="002B79E2"/>
    <w:rsid w:val="002C57B4"/>
    <w:rsid w:val="002C7F1A"/>
    <w:rsid w:val="00305355"/>
    <w:rsid w:val="003074C3"/>
    <w:rsid w:val="0031005C"/>
    <w:rsid w:val="00316EFD"/>
    <w:rsid w:val="00332514"/>
    <w:rsid w:val="00336C4B"/>
    <w:rsid w:val="00337650"/>
    <w:rsid w:val="00341F45"/>
    <w:rsid w:val="003467A1"/>
    <w:rsid w:val="00347F3D"/>
    <w:rsid w:val="00371209"/>
    <w:rsid w:val="0037562D"/>
    <w:rsid w:val="00397AE4"/>
    <w:rsid w:val="003C150E"/>
    <w:rsid w:val="003C1598"/>
    <w:rsid w:val="003E460B"/>
    <w:rsid w:val="003E4980"/>
    <w:rsid w:val="003F037D"/>
    <w:rsid w:val="00403B04"/>
    <w:rsid w:val="00454012"/>
    <w:rsid w:val="004559EC"/>
    <w:rsid w:val="00460070"/>
    <w:rsid w:val="0047147D"/>
    <w:rsid w:val="00473554"/>
    <w:rsid w:val="00480913"/>
    <w:rsid w:val="00483121"/>
    <w:rsid w:val="00485AFD"/>
    <w:rsid w:val="004C7212"/>
    <w:rsid w:val="004E709D"/>
    <w:rsid w:val="004F064E"/>
    <w:rsid w:val="004F160C"/>
    <w:rsid w:val="00500927"/>
    <w:rsid w:val="0051080C"/>
    <w:rsid w:val="005207C9"/>
    <w:rsid w:val="0053406F"/>
    <w:rsid w:val="00541296"/>
    <w:rsid w:val="00560001"/>
    <w:rsid w:val="00562961"/>
    <w:rsid w:val="005726C3"/>
    <w:rsid w:val="00603E28"/>
    <w:rsid w:val="00613515"/>
    <w:rsid w:val="0064256C"/>
    <w:rsid w:val="00643B2E"/>
    <w:rsid w:val="00664C21"/>
    <w:rsid w:val="00690CBE"/>
    <w:rsid w:val="00697F02"/>
    <w:rsid w:val="006B6145"/>
    <w:rsid w:val="006D3EBB"/>
    <w:rsid w:val="006D6BD4"/>
    <w:rsid w:val="006E4C6E"/>
    <w:rsid w:val="006E7967"/>
    <w:rsid w:val="00700DB3"/>
    <w:rsid w:val="00704CD1"/>
    <w:rsid w:val="00716A60"/>
    <w:rsid w:val="00726066"/>
    <w:rsid w:val="00736F33"/>
    <w:rsid w:val="00741016"/>
    <w:rsid w:val="00745E4F"/>
    <w:rsid w:val="0074627C"/>
    <w:rsid w:val="00767FF8"/>
    <w:rsid w:val="00770649"/>
    <w:rsid w:val="0077370F"/>
    <w:rsid w:val="00797E10"/>
    <w:rsid w:val="007B778C"/>
    <w:rsid w:val="007C34EE"/>
    <w:rsid w:val="007D0870"/>
    <w:rsid w:val="007D45CE"/>
    <w:rsid w:val="007E628A"/>
    <w:rsid w:val="007F55EB"/>
    <w:rsid w:val="007F6A5A"/>
    <w:rsid w:val="00820410"/>
    <w:rsid w:val="00834962"/>
    <w:rsid w:val="0084254C"/>
    <w:rsid w:val="0084452A"/>
    <w:rsid w:val="00862327"/>
    <w:rsid w:val="008819F0"/>
    <w:rsid w:val="00887609"/>
    <w:rsid w:val="008C01BF"/>
    <w:rsid w:val="008D0896"/>
    <w:rsid w:val="008D5D90"/>
    <w:rsid w:val="008E2485"/>
    <w:rsid w:val="008F1FD8"/>
    <w:rsid w:val="008F22DB"/>
    <w:rsid w:val="008F38DF"/>
    <w:rsid w:val="008F6C8D"/>
    <w:rsid w:val="00906914"/>
    <w:rsid w:val="0092513F"/>
    <w:rsid w:val="00942214"/>
    <w:rsid w:val="0094236D"/>
    <w:rsid w:val="00977716"/>
    <w:rsid w:val="00982622"/>
    <w:rsid w:val="00994673"/>
    <w:rsid w:val="009A0CB2"/>
    <w:rsid w:val="009A10A8"/>
    <w:rsid w:val="009A358B"/>
    <w:rsid w:val="009C35DA"/>
    <w:rsid w:val="009C7551"/>
    <w:rsid w:val="009D5686"/>
    <w:rsid w:val="009F4C12"/>
    <w:rsid w:val="00A12BE8"/>
    <w:rsid w:val="00A219CB"/>
    <w:rsid w:val="00A32C85"/>
    <w:rsid w:val="00A40ABF"/>
    <w:rsid w:val="00A42E55"/>
    <w:rsid w:val="00A57E5F"/>
    <w:rsid w:val="00A808D1"/>
    <w:rsid w:val="00AA767C"/>
    <w:rsid w:val="00AB0C50"/>
    <w:rsid w:val="00AB153A"/>
    <w:rsid w:val="00AB6FA2"/>
    <w:rsid w:val="00AC1303"/>
    <w:rsid w:val="00AF109F"/>
    <w:rsid w:val="00B039BC"/>
    <w:rsid w:val="00B072B4"/>
    <w:rsid w:val="00B166B9"/>
    <w:rsid w:val="00B20824"/>
    <w:rsid w:val="00B35919"/>
    <w:rsid w:val="00B37AF5"/>
    <w:rsid w:val="00B62040"/>
    <w:rsid w:val="00B64A40"/>
    <w:rsid w:val="00B67E4E"/>
    <w:rsid w:val="00BA2B10"/>
    <w:rsid w:val="00BA2DEA"/>
    <w:rsid w:val="00BC2F15"/>
    <w:rsid w:val="00BC4602"/>
    <w:rsid w:val="00BD0380"/>
    <w:rsid w:val="00BD1482"/>
    <w:rsid w:val="00BD2BF4"/>
    <w:rsid w:val="00BD68FC"/>
    <w:rsid w:val="00BD6BE5"/>
    <w:rsid w:val="00BE7965"/>
    <w:rsid w:val="00BF7E77"/>
    <w:rsid w:val="00C00059"/>
    <w:rsid w:val="00C031DA"/>
    <w:rsid w:val="00C05B9C"/>
    <w:rsid w:val="00C20A0F"/>
    <w:rsid w:val="00C51FA2"/>
    <w:rsid w:val="00C57281"/>
    <w:rsid w:val="00C6312C"/>
    <w:rsid w:val="00C655B9"/>
    <w:rsid w:val="00C7788C"/>
    <w:rsid w:val="00C86363"/>
    <w:rsid w:val="00C91E87"/>
    <w:rsid w:val="00CA7F88"/>
    <w:rsid w:val="00CB70D8"/>
    <w:rsid w:val="00CD0760"/>
    <w:rsid w:val="00CD1A34"/>
    <w:rsid w:val="00CE2C3A"/>
    <w:rsid w:val="00D111DC"/>
    <w:rsid w:val="00D3549F"/>
    <w:rsid w:val="00D35624"/>
    <w:rsid w:val="00D517DB"/>
    <w:rsid w:val="00D718B0"/>
    <w:rsid w:val="00D83303"/>
    <w:rsid w:val="00D85900"/>
    <w:rsid w:val="00DC78E8"/>
    <w:rsid w:val="00DD510E"/>
    <w:rsid w:val="00E15362"/>
    <w:rsid w:val="00E42A01"/>
    <w:rsid w:val="00E61900"/>
    <w:rsid w:val="00E86585"/>
    <w:rsid w:val="00EB5B16"/>
    <w:rsid w:val="00EC1619"/>
    <w:rsid w:val="00ED4DD7"/>
    <w:rsid w:val="00EE1A97"/>
    <w:rsid w:val="00EE4442"/>
    <w:rsid w:val="00F01506"/>
    <w:rsid w:val="00F02630"/>
    <w:rsid w:val="00F12CEE"/>
    <w:rsid w:val="00F168B6"/>
    <w:rsid w:val="00F369E1"/>
    <w:rsid w:val="00F438DA"/>
    <w:rsid w:val="00F453A2"/>
    <w:rsid w:val="00F668CA"/>
    <w:rsid w:val="00F769CB"/>
    <w:rsid w:val="00F80A9B"/>
    <w:rsid w:val="00FA623E"/>
    <w:rsid w:val="00FD4D99"/>
    <w:rsid w:val="00FF2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77FD1"/>
  <w15:chartTrackingRefBased/>
  <w15:docId w15:val="{F2C1CC4D-F562-43ED-AD75-5E68736D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6B9"/>
    <w:pPr>
      <w:spacing w:after="0" w:line="240" w:lineRule="auto"/>
    </w:pPr>
    <w:rPr>
      <w:rFonts w:ascii="Calibri" w:hAnsi="Calibri" w:cs="Calibri"/>
    </w:rPr>
  </w:style>
  <w:style w:type="paragraph" w:styleId="Heading1">
    <w:name w:val="heading 1"/>
    <w:basedOn w:val="Heading2"/>
    <w:next w:val="Normal"/>
    <w:link w:val="Heading1Char"/>
    <w:uiPriority w:val="9"/>
    <w:qFormat/>
    <w:rsid w:val="0024628E"/>
    <w:pPr>
      <w:spacing w:before="0" w:line="259" w:lineRule="auto"/>
      <w:outlineLvl w:val="0"/>
    </w:pPr>
    <w:rPr>
      <w:rFonts w:ascii="Arial" w:hAnsi="Arial" w:cs="Arial"/>
      <w:b/>
      <w:color w:val="000000" w:themeColor="text1"/>
      <w:sz w:val="22"/>
    </w:rPr>
  </w:style>
  <w:style w:type="paragraph" w:styleId="Heading2">
    <w:name w:val="heading 2"/>
    <w:basedOn w:val="Normal"/>
    <w:next w:val="Normal"/>
    <w:link w:val="Heading2Char"/>
    <w:uiPriority w:val="9"/>
    <w:semiHidden/>
    <w:unhideWhenUsed/>
    <w:qFormat/>
    <w:rsid w:val="002462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6B9"/>
    <w:pPr>
      <w:ind w:left="720"/>
      <w:contextualSpacing/>
    </w:pPr>
    <w:rPr>
      <w:lang w:eastAsia="en-GB"/>
    </w:rPr>
  </w:style>
  <w:style w:type="character" w:styleId="Hyperlink">
    <w:name w:val="Hyperlink"/>
    <w:basedOn w:val="DefaultParagraphFont"/>
    <w:uiPriority w:val="99"/>
    <w:unhideWhenUsed/>
    <w:rsid w:val="00F453A2"/>
    <w:rPr>
      <w:color w:val="0563C1"/>
      <w:u w:val="single"/>
    </w:rPr>
  </w:style>
  <w:style w:type="paragraph" w:customStyle="1" w:styleId="Default">
    <w:name w:val="Default"/>
    <w:rsid w:val="0047147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21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39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95E"/>
    <w:rPr>
      <w:rFonts w:ascii="Segoe UI" w:hAnsi="Segoe UI" w:cs="Segoe UI"/>
      <w:sz w:val="18"/>
      <w:szCs w:val="18"/>
    </w:rPr>
  </w:style>
  <w:style w:type="character" w:styleId="UnresolvedMention">
    <w:name w:val="Unresolved Mention"/>
    <w:basedOn w:val="DefaultParagraphFont"/>
    <w:uiPriority w:val="99"/>
    <w:semiHidden/>
    <w:unhideWhenUsed/>
    <w:rsid w:val="00CA7F88"/>
    <w:rPr>
      <w:color w:val="605E5C"/>
      <w:shd w:val="clear" w:color="auto" w:fill="E1DFDD"/>
    </w:rPr>
  </w:style>
  <w:style w:type="character" w:customStyle="1" w:styleId="Heading1Char">
    <w:name w:val="Heading 1 Char"/>
    <w:basedOn w:val="DefaultParagraphFont"/>
    <w:link w:val="Heading1"/>
    <w:uiPriority w:val="9"/>
    <w:rsid w:val="0024628E"/>
    <w:rPr>
      <w:rFonts w:ascii="Arial" w:eastAsiaTheme="majorEastAsia" w:hAnsi="Arial" w:cs="Arial"/>
      <w:b/>
      <w:color w:val="000000" w:themeColor="text1"/>
      <w:szCs w:val="26"/>
    </w:rPr>
  </w:style>
  <w:style w:type="paragraph" w:styleId="NoSpacing">
    <w:name w:val="No Spacing"/>
    <w:uiPriority w:val="1"/>
    <w:qFormat/>
    <w:rsid w:val="0024628E"/>
    <w:pPr>
      <w:numPr>
        <w:numId w:val="10"/>
      </w:numPr>
      <w:spacing w:before="120" w:after="120" w:line="240" w:lineRule="auto"/>
    </w:pPr>
    <w:rPr>
      <w:lang w:val="en-US"/>
    </w:rPr>
  </w:style>
  <w:style w:type="character" w:customStyle="1" w:styleId="Heading2Char">
    <w:name w:val="Heading 2 Char"/>
    <w:basedOn w:val="DefaultParagraphFont"/>
    <w:link w:val="Heading2"/>
    <w:uiPriority w:val="9"/>
    <w:semiHidden/>
    <w:rsid w:val="0024628E"/>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460070"/>
    <w:rPr>
      <w:sz w:val="16"/>
      <w:szCs w:val="16"/>
    </w:rPr>
  </w:style>
  <w:style w:type="paragraph" w:styleId="CommentText">
    <w:name w:val="annotation text"/>
    <w:basedOn w:val="Normal"/>
    <w:link w:val="CommentTextChar"/>
    <w:uiPriority w:val="99"/>
    <w:semiHidden/>
    <w:unhideWhenUsed/>
    <w:rsid w:val="00460070"/>
    <w:rPr>
      <w:sz w:val="20"/>
      <w:szCs w:val="20"/>
    </w:rPr>
  </w:style>
  <w:style w:type="character" w:customStyle="1" w:styleId="CommentTextChar">
    <w:name w:val="Comment Text Char"/>
    <w:basedOn w:val="DefaultParagraphFont"/>
    <w:link w:val="CommentText"/>
    <w:uiPriority w:val="99"/>
    <w:semiHidden/>
    <w:rsid w:val="0046007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60070"/>
    <w:rPr>
      <w:b/>
      <w:bCs/>
    </w:rPr>
  </w:style>
  <w:style w:type="character" w:customStyle="1" w:styleId="CommentSubjectChar">
    <w:name w:val="Comment Subject Char"/>
    <w:basedOn w:val="CommentTextChar"/>
    <w:link w:val="CommentSubject"/>
    <w:uiPriority w:val="99"/>
    <w:semiHidden/>
    <w:rsid w:val="00460070"/>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83578">
      <w:bodyDiv w:val="1"/>
      <w:marLeft w:val="0"/>
      <w:marRight w:val="0"/>
      <w:marTop w:val="0"/>
      <w:marBottom w:val="0"/>
      <w:divBdr>
        <w:top w:val="none" w:sz="0" w:space="0" w:color="auto"/>
        <w:left w:val="none" w:sz="0" w:space="0" w:color="auto"/>
        <w:bottom w:val="none" w:sz="0" w:space="0" w:color="auto"/>
        <w:right w:val="none" w:sz="0" w:space="0" w:color="auto"/>
      </w:divBdr>
    </w:div>
    <w:div w:id="617101922">
      <w:bodyDiv w:val="1"/>
      <w:marLeft w:val="0"/>
      <w:marRight w:val="0"/>
      <w:marTop w:val="0"/>
      <w:marBottom w:val="0"/>
      <w:divBdr>
        <w:top w:val="none" w:sz="0" w:space="0" w:color="auto"/>
        <w:left w:val="none" w:sz="0" w:space="0" w:color="auto"/>
        <w:bottom w:val="none" w:sz="0" w:space="0" w:color="auto"/>
        <w:right w:val="none" w:sz="0" w:space="0" w:color="auto"/>
      </w:divBdr>
    </w:div>
    <w:div w:id="640228122">
      <w:bodyDiv w:val="1"/>
      <w:marLeft w:val="0"/>
      <w:marRight w:val="0"/>
      <w:marTop w:val="0"/>
      <w:marBottom w:val="0"/>
      <w:divBdr>
        <w:top w:val="none" w:sz="0" w:space="0" w:color="auto"/>
        <w:left w:val="none" w:sz="0" w:space="0" w:color="auto"/>
        <w:bottom w:val="none" w:sz="0" w:space="0" w:color="auto"/>
        <w:right w:val="none" w:sz="0" w:space="0" w:color="auto"/>
      </w:divBdr>
    </w:div>
    <w:div w:id="719943360">
      <w:bodyDiv w:val="1"/>
      <w:marLeft w:val="0"/>
      <w:marRight w:val="0"/>
      <w:marTop w:val="0"/>
      <w:marBottom w:val="0"/>
      <w:divBdr>
        <w:top w:val="none" w:sz="0" w:space="0" w:color="auto"/>
        <w:left w:val="none" w:sz="0" w:space="0" w:color="auto"/>
        <w:bottom w:val="none" w:sz="0" w:space="0" w:color="auto"/>
        <w:right w:val="none" w:sz="0" w:space="0" w:color="auto"/>
      </w:divBdr>
    </w:div>
    <w:div w:id="865828542">
      <w:bodyDiv w:val="1"/>
      <w:marLeft w:val="0"/>
      <w:marRight w:val="0"/>
      <w:marTop w:val="0"/>
      <w:marBottom w:val="0"/>
      <w:divBdr>
        <w:top w:val="none" w:sz="0" w:space="0" w:color="auto"/>
        <w:left w:val="none" w:sz="0" w:space="0" w:color="auto"/>
        <w:bottom w:val="none" w:sz="0" w:space="0" w:color="auto"/>
        <w:right w:val="none" w:sz="0" w:space="0" w:color="auto"/>
      </w:divBdr>
    </w:div>
    <w:div w:id="1082945412">
      <w:bodyDiv w:val="1"/>
      <w:marLeft w:val="0"/>
      <w:marRight w:val="0"/>
      <w:marTop w:val="0"/>
      <w:marBottom w:val="0"/>
      <w:divBdr>
        <w:top w:val="none" w:sz="0" w:space="0" w:color="auto"/>
        <w:left w:val="none" w:sz="0" w:space="0" w:color="auto"/>
        <w:bottom w:val="none" w:sz="0" w:space="0" w:color="auto"/>
        <w:right w:val="none" w:sz="0" w:space="0" w:color="auto"/>
      </w:divBdr>
    </w:div>
    <w:div w:id="1292318791">
      <w:bodyDiv w:val="1"/>
      <w:marLeft w:val="0"/>
      <w:marRight w:val="0"/>
      <w:marTop w:val="0"/>
      <w:marBottom w:val="0"/>
      <w:divBdr>
        <w:top w:val="none" w:sz="0" w:space="0" w:color="auto"/>
        <w:left w:val="none" w:sz="0" w:space="0" w:color="auto"/>
        <w:bottom w:val="none" w:sz="0" w:space="0" w:color="auto"/>
        <w:right w:val="none" w:sz="0" w:space="0" w:color="auto"/>
      </w:divBdr>
    </w:div>
    <w:div w:id="198901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2.docx"/><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1.docx"/><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package" Target="embeddings/Microsoft_Word_Document.docx"/><Relationship Id="rId14" Type="http://schemas.openxmlformats.org/officeDocument/2006/relationships/hyperlink" Target="http://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73022CAA27C478F2AA69679579561" ma:contentTypeVersion="14" ma:contentTypeDescription="Create a new document." ma:contentTypeScope="" ma:versionID="9d036ea1d9789b3d4e4ea4233c279f83">
  <xsd:schema xmlns:xsd="http://www.w3.org/2001/XMLSchema" xmlns:xs="http://www.w3.org/2001/XMLSchema" xmlns:p="http://schemas.microsoft.com/office/2006/metadata/properties" xmlns:ns3="0bb1c71b-1126-420a-8375-5baa5d70e5cc" targetNamespace="http://schemas.microsoft.com/office/2006/metadata/properties" ma:root="true" ma:fieldsID="a364ed20e3e1b555ff59636fd5531b86" ns3:_="">
    <xsd:import namespace="0bb1c71b-1126-420a-8375-5baa5d70e5cc"/>
    <xsd:element name="properties">
      <xsd:complexType>
        <xsd:sequence>
          <xsd:element name="documentManagement">
            <xsd:complexType>
              <xsd:all>
                <xsd:element ref="ns3:UniqueSourceRef" minOccurs="0"/>
                <xsd:element ref="ns3:FileHash" minOccurs="0"/>
                <xsd:element ref="ns3:SharedWithUsers" minOccurs="0"/>
                <xsd:element ref="ns3:SharedWithDetails" minOccurs="0"/>
                <xsd:element ref="ns3:SharingHintHas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1c71b-1126-420a-8375-5baa5d70e5cc"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queSourceRef xmlns="0bb1c71b-1126-420a-8375-5baa5d70e5cc" xsi:nil="true"/>
    <FileHash xmlns="0bb1c71b-1126-420a-8375-5baa5d70e5cc" xsi:nil="true"/>
  </documentManagement>
</p:properties>
</file>

<file path=customXml/itemProps1.xml><?xml version="1.0" encoding="utf-8"?>
<ds:datastoreItem xmlns:ds="http://schemas.openxmlformats.org/officeDocument/2006/customXml" ds:itemID="{6C6B4398-A4C1-4040-9215-64FAAB5B1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1c71b-1126-420a-8375-5baa5d70e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9A4A71-296A-4B74-AC88-B285F9F00002}">
  <ds:schemaRefs>
    <ds:schemaRef ds:uri="http://schemas.microsoft.com/sharepoint/v3/contenttype/forms"/>
  </ds:schemaRefs>
</ds:datastoreItem>
</file>

<file path=customXml/itemProps3.xml><?xml version="1.0" encoding="utf-8"?>
<ds:datastoreItem xmlns:ds="http://schemas.openxmlformats.org/officeDocument/2006/customXml" ds:itemID="{6C2A8DFD-E38C-47CF-930E-B45A8509FB98}">
  <ds:schemaRefs>
    <ds:schemaRef ds:uri="http://schemas.microsoft.com/office/2006/metadata/properties"/>
    <ds:schemaRef ds:uri="http://schemas.microsoft.com/office/infopath/2007/PartnerControls"/>
    <ds:schemaRef ds:uri="0bb1c71b-1126-420a-8375-5baa5d70e5cc"/>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Liddemore, David</dc:creator>
  <cp:keywords/>
  <dc:description/>
  <cp:lastModifiedBy>Liddemore, David</cp:lastModifiedBy>
  <cp:revision>16</cp:revision>
  <dcterms:created xsi:type="dcterms:W3CDTF">2021-05-27T09:50:00Z</dcterms:created>
  <dcterms:modified xsi:type="dcterms:W3CDTF">2021-05-27T12:37:00Z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0x01010092773022CAA27C478F2AA69679579561</vt:lpwstr>
  </property>
</Properties>
</file>