
<file path=[Content_Types].xml><?xml version="1.0" encoding="utf-8"?>
<Types xmlns="http://schemas.openxmlformats.org/package/2006/content-types">
  <Default Extension="docx" ContentType="application/vnd.openxmlformats-officedocument.wordprocessingml.document"/>
  <Default Extension="emf" ContentType="image/x-emf"/>
  <Default Extension="pptx" ContentType="application/vnd.openxmlformats-officedocument.presentationml.presentation"/>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4AE05" w14:textId="09D98BC7" w:rsidR="003D3E25" w:rsidRPr="00D02B10" w:rsidRDefault="00A1174B" w:rsidP="00061555">
      <w:pPr>
        <w:spacing w:line="240" w:lineRule="auto"/>
        <w:jc w:val="both"/>
        <w:rPr>
          <w:rFonts w:cstheme="minorHAnsi"/>
          <w:b/>
        </w:rPr>
      </w:pPr>
      <w:r w:rsidRPr="00D02B10">
        <w:rPr>
          <w:rFonts w:cstheme="minorHAnsi"/>
          <w:b/>
        </w:rPr>
        <w:t xml:space="preserve">Gold Briefing – </w:t>
      </w:r>
      <w:r w:rsidR="007D6992">
        <w:rPr>
          <w:rFonts w:cstheme="minorHAnsi"/>
          <w:b/>
        </w:rPr>
        <w:t xml:space="preserve">01.03 21 </w:t>
      </w:r>
      <w:r w:rsidR="00BC1DC1">
        <w:rPr>
          <w:rFonts w:cstheme="minorHAnsi"/>
          <w:b/>
        </w:rPr>
        <w:t xml:space="preserve">- </w:t>
      </w:r>
      <w:r w:rsidRPr="00D02B10">
        <w:rPr>
          <w:rFonts w:cstheme="minorHAnsi"/>
          <w:b/>
        </w:rPr>
        <w:t xml:space="preserve">Opening of Stage 3 Gateway: Process and </w:t>
      </w:r>
      <w:r w:rsidR="003D3E25" w:rsidRPr="00D02B10">
        <w:rPr>
          <w:rFonts w:cstheme="minorHAnsi"/>
          <w:b/>
        </w:rPr>
        <w:t xml:space="preserve">Delivery </w:t>
      </w:r>
    </w:p>
    <w:p w14:paraId="5964F3EB" w14:textId="77777777" w:rsidR="009945B6" w:rsidRPr="00D02B10" w:rsidRDefault="009945B6" w:rsidP="00061555">
      <w:pPr>
        <w:pStyle w:val="NoSpacing"/>
        <w:jc w:val="both"/>
        <w:rPr>
          <w:rFonts w:cstheme="minorHAnsi"/>
          <w:lang w:val="en-GB"/>
        </w:rPr>
      </w:pPr>
    </w:p>
    <w:p w14:paraId="10EE731D" w14:textId="77777777" w:rsidR="00E766ED" w:rsidRPr="00D02B10" w:rsidRDefault="009945B6" w:rsidP="00061555">
      <w:pPr>
        <w:pStyle w:val="NoSpacing"/>
        <w:tabs>
          <w:tab w:val="left" w:pos="1240"/>
        </w:tabs>
        <w:jc w:val="both"/>
        <w:rPr>
          <w:rFonts w:cstheme="minorHAnsi"/>
          <w:b/>
          <w:lang w:val="en-GB"/>
        </w:rPr>
      </w:pPr>
      <w:r w:rsidRPr="00D02B10">
        <w:rPr>
          <w:rFonts w:cstheme="minorHAnsi"/>
          <w:b/>
          <w:lang w:val="en-GB"/>
        </w:rPr>
        <w:t>Purpos</w:t>
      </w:r>
      <w:r w:rsidR="00E766ED" w:rsidRPr="00D02B10">
        <w:rPr>
          <w:rFonts w:cstheme="minorHAnsi"/>
          <w:b/>
          <w:lang w:val="en-GB"/>
        </w:rPr>
        <w:t>e</w:t>
      </w:r>
    </w:p>
    <w:p w14:paraId="26C2D2DD" w14:textId="77777777" w:rsidR="00DE792B" w:rsidRPr="00D02B10" w:rsidRDefault="00DE792B" w:rsidP="00061555">
      <w:pPr>
        <w:pStyle w:val="NoSpacing"/>
        <w:tabs>
          <w:tab w:val="left" w:pos="1240"/>
        </w:tabs>
        <w:jc w:val="both"/>
        <w:rPr>
          <w:rFonts w:cstheme="minorHAnsi"/>
          <w:b/>
          <w:lang w:val="en-GB"/>
        </w:rPr>
      </w:pPr>
    </w:p>
    <w:p w14:paraId="1B202C06" w14:textId="77777777" w:rsidR="00B83465" w:rsidRDefault="00FE6911" w:rsidP="00061555">
      <w:pPr>
        <w:pStyle w:val="NoSpacing"/>
        <w:jc w:val="both"/>
        <w:rPr>
          <w:rFonts w:cstheme="minorHAnsi"/>
          <w:lang w:val="en-GB"/>
        </w:rPr>
      </w:pPr>
      <w:r>
        <w:rPr>
          <w:rFonts w:cstheme="minorHAnsi"/>
          <w:lang w:val="en-GB"/>
        </w:rPr>
        <w:t xml:space="preserve">On 22 February </w:t>
      </w:r>
      <w:r w:rsidR="00960A80" w:rsidRPr="00D02B10">
        <w:rPr>
          <w:rFonts w:cstheme="minorHAnsi"/>
          <w:lang w:val="en-GB"/>
        </w:rPr>
        <w:t>the</w:t>
      </w:r>
      <w:r>
        <w:rPr>
          <w:rFonts w:cstheme="minorHAnsi"/>
          <w:lang w:val="en-GB"/>
        </w:rPr>
        <w:t xml:space="preserve"> </w:t>
      </w:r>
      <w:r w:rsidR="00960A80" w:rsidRPr="00D02B10">
        <w:rPr>
          <w:rFonts w:cstheme="minorHAnsi"/>
          <w:lang w:val="en-GB"/>
        </w:rPr>
        <w:t>P</w:t>
      </w:r>
      <w:r>
        <w:rPr>
          <w:rFonts w:cstheme="minorHAnsi"/>
          <w:lang w:val="en-GB"/>
        </w:rPr>
        <w:t>rime Minister set</w:t>
      </w:r>
      <w:r w:rsidR="00960A80" w:rsidRPr="00D02B10">
        <w:rPr>
          <w:rFonts w:cstheme="minorHAnsi"/>
          <w:lang w:val="en-GB"/>
        </w:rPr>
        <w:t xml:space="preserve"> out</w:t>
      </w:r>
      <w:r w:rsidR="002455EA">
        <w:rPr>
          <w:rFonts w:cstheme="minorHAnsi"/>
          <w:lang w:val="en-GB"/>
        </w:rPr>
        <w:t xml:space="preserve"> the Government’s</w:t>
      </w:r>
      <w:r w:rsidR="00960A80" w:rsidRPr="00D02B10">
        <w:rPr>
          <w:rFonts w:cstheme="minorHAnsi"/>
          <w:lang w:val="en-GB"/>
        </w:rPr>
        <w:t xml:space="preserve"> plans for the easing of community restrictions</w:t>
      </w:r>
      <w:r w:rsidRPr="00FE6911">
        <w:rPr>
          <w:rFonts w:cstheme="minorHAnsi"/>
          <w:lang w:val="en-GB"/>
        </w:rPr>
        <w:t xml:space="preserve"> </w:t>
      </w:r>
      <w:r>
        <w:rPr>
          <w:rFonts w:cstheme="minorHAnsi"/>
          <w:lang w:val="en-GB"/>
        </w:rPr>
        <w:t>following equivalent announcements by</w:t>
      </w:r>
      <w:r w:rsidRPr="00D02B10">
        <w:rPr>
          <w:rFonts w:cstheme="minorHAnsi"/>
          <w:lang w:val="en-GB"/>
        </w:rPr>
        <w:t xml:space="preserve"> the First Minister in Wales on 19 February</w:t>
      </w:r>
      <w:r w:rsidR="00960A80" w:rsidRPr="00D02B10">
        <w:rPr>
          <w:rFonts w:cstheme="minorHAnsi"/>
          <w:lang w:val="en-GB"/>
        </w:rPr>
        <w:t xml:space="preserve">. </w:t>
      </w:r>
      <w:r w:rsidR="002F7C92" w:rsidRPr="00D02B10">
        <w:rPr>
          <w:rFonts w:cstheme="minorHAnsi"/>
          <w:lang w:val="en-GB"/>
        </w:rPr>
        <w:t xml:space="preserve">HMPPS have been carefully considering the </w:t>
      </w:r>
      <w:r w:rsidR="00B83465">
        <w:rPr>
          <w:rFonts w:cstheme="minorHAnsi"/>
          <w:lang w:val="en-GB"/>
        </w:rPr>
        <w:t xml:space="preserve">arrangements for future progression of </w:t>
      </w:r>
      <w:r w:rsidR="002F7C92" w:rsidRPr="00D02B10">
        <w:rPr>
          <w:rFonts w:cstheme="minorHAnsi"/>
          <w:lang w:val="en-GB"/>
        </w:rPr>
        <w:t>establishment regimes</w:t>
      </w:r>
      <w:r>
        <w:rPr>
          <w:rFonts w:cstheme="minorHAnsi"/>
          <w:lang w:val="en-GB"/>
        </w:rPr>
        <w:t xml:space="preserve"> and are now in a position to s</w:t>
      </w:r>
      <w:r w:rsidRPr="00D02B10">
        <w:rPr>
          <w:rFonts w:cstheme="minorHAnsi"/>
          <w:lang w:val="en-GB"/>
        </w:rPr>
        <w:t xml:space="preserve">et out </w:t>
      </w:r>
      <w:r w:rsidR="00B83465">
        <w:rPr>
          <w:rFonts w:cstheme="minorHAnsi"/>
          <w:lang w:val="en-GB"/>
        </w:rPr>
        <w:t>these</w:t>
      </w:r>
      <w:r>
        <w:rPr>
          <w:rFonts w:cstheme="minorHAnsi"/>
          <w:lang w:val="en-GB"/>
        </w:rPr>
        <w:t xml:space="preserve"> </w:t>
      </w:r>
      <w:r w:rsidRPr="00D02B10">
        <w:rPr>
          <w:rFonts w:cstheme="minorHAnsi"/>
          <w:lang w:val="en-GB"/>
        </w:rPr>
        <w:t>plans</w:t>
      </w:r>
      <w:r>
        <w:rPr>
          <w:rFonts w:cstheme="minorHAnsi"/>
          <w:lang w:val="en-GB"/>
        </w:rPr>
        <w:t xml:space="preserve"> </w:t>
      </w:r>
      <w:r w:rsidRPr="00D02B10">
        <w:rPr>
          <w:rFonts w:cstheme="minorHAnsi"/>
          <w:lang w:val="en-GB"/>
        </w:rPr>
        <w:t>and provide guidance to establishments o</w:t>
      </w:r>
      <w:r>
        <w:rPr>
          <w:rFonts w:cstheme="minorHAnsi"/>
          <w:lang w:val="en-GB"/>
        </w:rPr>
        <w:t>n</w:t>
      </w:r>
      <w:r w:rsidRPr="00D02B10">
        <w:rPr>
          <w:rFonts w:cstheme="minorHAnsi"/>
          <w:lang w:val="en-GB"/>
        </w:rPr>
        <w:t xml:space="preserve"> the mechanisms </w:t>
      </w:r>
      <w:r>
        <w:rPr>
          <w:rFonts w:cstheme="minorHAnsi"/>
          <w:lang w:val="en-GB"/>
        </w:rPr>
        <w:t>and system of governance</w:t>
      </w:r>
      <w:r w:rsidR="002F7C92" w:rsidRPr="00D02B10">
        <w:rPr>
          <w:rFonts w:cstheme="minorHAnsi"/>
          <w:lang w:val="en-GB"/>
        </w:rPr>
        <w:t xml:space="preserve">.  </w:t>
      </w:r>
    </w:p>
    <w:p w14:paraId="3C459D73" w14:textId="77777777" w:rsidR="00B83465" w:rsidRDefault="00B83465" w:rsidP="00061555">
      <w:pPr>
        <w:pStyle w:val="NoSpacing"/>
        <w:jc w:val="both"/>
        <w:rPr>
          <w:rFonts w:cstheme="minorHAnsi"/>
          <w:lang w:val="en-GB"/>
        </w:rPr>
      </w:pPr>
    </w:p>
    <w:p w14:paraId="55B61241" w14:textId="77777777" w:rsidR="002F7C92" w:rsidRDefault="002F7C92" w:rsidP="00061555">
      <w:pPr>
        <w:pStyle w:val="NoSpacing"/>
        <w:jc w:val="both"/>
        <w:rPr>
          <w:rFonts w:cstheme="minorHAnsi"/>
          <w:lang w:val="en-GB"/>
        </w:rPr>
      </w:pPr>
      <w:r w:rsidRPr="00D02B10">
        <w:rPr>
          <w:rFonts w:cstheme="minorHAnsi"/>
          <w:lang w:val="en-GB"/>
        </w:rPr>
        <w:t>Ensuring the safety and wellbeing of all staff</w:t>
      </w:r>
      <w:r w:rsidR="001F073A">
        <w:rPr>
          <w:rFonts w:cstheme="minorHAnsi"/>
          <w:lang w:val="en-GB"/>
        </w:rPr>
        <w:t xml:space="preserve"> and</w:t>
      </w:r>
      <w:r w:rsidR="0007124A">
        <w:rPr>
          <w:rFonts w:cstheme="minorHAnsi"/>
          <w:lang w:val="en-GB"/>
        </w:rPr>
        <w:t xml:space="preserve"> </w:t>
      </w:r>
      <w:r w:rsidR="00F05B62">
        <w:rPr>
          <w:rFonts w:cstheme="minorHAnsi"/>
          <w:lang w:val="en-GB"/>
        </w:rPr>
        <w:t xml:space="preserve">those in custody </w:t>
      </w:r>
      <w:r w:rsidRPr="00D02B10">
        <w:rPr>
          <w:rFonts w:cstheme="minorHAnsi"/>
          <w:lang w:val="en-GB"/>
        </w:rPr>
        <w:t>remains our central priority</w:t>
      </w:r>
      <w:r w:rsidR="001F073A">
        <w:rPr>
          <w:rFonts w:cstheme="minorHAnsi"/>
          <w:lang w:val="en-GB"/>
        </w:rPr>
        <w:t>. T</w:t>
      </w:r>
      <w:r w:rsidRPr="00D02B10">
        <w:rPr>
          <w:rFonts w:cstheme="minorHAnsi"/>
          <w:lang w:val="en-GB"/>
        </w:rPr>
        <w:t xml:space="preserve">he </w:t>
      </w:r>
      <w:r w:rsidR="002455EA">
        <w:rPr>
          <w:rFonts w:cstheme="minorHAnsi"/>
          <w:lang w:val="en-GB"/>
        </w:rPr>
        <w:t>lifting of some</w:t>
      </w:r>
      <w:r w:rsidR="002455EA" w:rsidRPr="00D02B10">
        <w:rPr>
          <w:rFonts w:cstheme="minorHAnsi"/>
          <w:lang w:val="en-GB"/>
        </w:rPr>
        <w:t xml:space="preserve"> </w:t>
      </w:r>
      <w:r w:rsidRPr="00D02B10">
        <w:rPr>
          <w:rFonts w:cstheme="minorHAnsi"/>
          <w:lang w:val="en-GB"/>
        </w:rPr>
        <w:t>restrictions within our establishments</w:t>
      </w:r>
      <w:r w:rsidR="001F073A">
        <w:rPr>
          <w:rFonts w:cstheme="minorHAnsi"/>
          <w:lang w:val="en-GB"/>
        </w:rPr>
        <w:t xml:space="preserve"> will be done carefully and gradually</w:t>
      </w:r>
      <w:r w:rsidR="00B83465">
        <w:rPr>
          <w:rFonts w:cstheme="minorHAnsi"/>
          <w:lang w:val="en-GB"/>
        </w:rPr>
        <w:t>, and only when it is judged to be appropriate for each individual site,</w:t>
      </w:r>
      <w:r w:rsidR="001F073A">
        <w:rPr>
          <w:rFonts w:cstheme="minorHAnsi"/>
          <w:lang w:val="en-GB"/>
        </w:rPr>
        <w:t xml:space="preserve"> noting the risks that the prison estate continues to manage</w:t>
      </w:r>
      <w:r w:rsidRPr="00D02B10">
        <w:rPr>
          <w:rFonts w:cstheme="minorHAnsi"/>
          <w:lang w:val="en-GB"/>
        </w:rPr>
        <w:t xml:space="preserve">. </w:t>
      </w:r>
    </w:p>
    <w:p w14:paraId="44E71A69" w14:textId="77777777" w:rsidR="00FE6911" w:rsidRPr="00D02B10" w:rsidRDefault="00FE6911" w:rsidP="00061555">
      <w:pPr>
        <w:pStyle w:val="NoSpacing"/>
        <w:jc w:val="both"/>
        <w:rPr>
          <w:rFonts w:cstheme="minorHAnsi"/>
          <w:lang w:val="en-GB"/>
        </w:rPr>
      </w:pPr>
    </w:p>
    <w:p w14:paraId="70ECFCF7" w14:textId="77777777" w:rsidR="00960A80" w:rsidRPr="00D02B10" w:rsidRDefault="002F7C92" w:rsidP="00061555">
      <w:pPr>
        <w:pStyle w:val="NoSpacing"/>
        <w:jc w:val="both"/>
        <w:rPr>
          <w:rFonts w:cstheme="minorHAnsi"/>
          <w:lang w:val="en-GB"/>
        </w:rPr>
      </w:pPr>
      <w:r w:rsidRPr="00D02B10">
        <w:rPr>
          <w:rFonts w:cstheme="minorHAnsi"/>
          <w:lang w:val="en-GB"/>
        </w:rPr>
        <w:t xml:space="preserve">The briefing is split into </w:t>
      </w:r>
      <w:r w:rsidR="0006740E">
        <w:rPr>
          <w:rFonts w:cstheme="minorHAnsi"/>
          <w:lang w:val="en-GB"/>
        </w:rPr>
        <w:t>3</w:t>
      </w:r>
      <w:r w:rsidRPr="00D02B10">
        <w:rPr>
          <w:rFonts w:cstheme="minorHAnsi"/>
          <w:lang w:val="en-GB"/>
        </w:rPr>
        <w:t xml:space="preserve"> key sections</w:t>
      </w:r>
      <w:r w:rsidR="002455EA">
        <w:rPr>
          <w:rFonts w:cstheme="minorHAnsi"/>
          <w:lang w:val="en-GB"/>
        </w:rPr>
        <w:t xml:space="preserve"> and supporting annexes</w:t>
      </w:r>
      <w:r w:rsidRPr="00D02B10">
        <w:rPr>
          <w:rFonts w:cstheme="minorHAnsi"/>
          <w:lang w:val="en-GB"/>
        </w:rPr>
        <w:t xml:space="preserve">: </w:t>
      </w:r>
    </w:p>
    <w:p w14:paraId="4EB1933B" w14:textId="77777777" w:rsidR="002F7C92" w:rsidRPr="00D02B10" w:rsidRDefault="002F7C92" w:rsidP="00061555">
      <w:pPr>
        <w:pStyle w:val="NoSpacing"/>
        <w:jc w:val="both"/>
        <w:rPr>
          <w:rFonts w:cstheme="minorHAnsi"/>
          <w:lang w:val="en-GB"/>
        </w:rPr>
      </w:pPr>
    </w:p>
    <w:p w14:paraId="0D6A0FE2" w14:textId="77777777" w:rsidR="009945B6" w:rsidRPr="00D02B10" w:rsidRDefault="00670B9B" w:rsidP="00061555">
      <w:pPr>
        <w:pStyle w:val="NoSpacing"/>
        <w:numPr>
          <w:ilvl w:val="0"/>
          <w:numId w:val="6"/>
        </w:numPr>
        <w:jc w:val="both"/>
        <w:rPr>
          <w:rFonts w:cstheme="minorHAnsi"/>
          <w:b/>
          <w:lang w:val="en-GB"/>
        </w:rPr>
      </w:pPr>
      <w:r w:rsidRPr="00D02B10">
        <w:rPr>
          <w:rFonts w:cstheme="minorHAnsi"/>
          <w:b/>
          <w:lang w:val="en-GB"/>
        </w:rPr>
        <w:t xml:space="preserve">The Opening of the regime </w:t>
      </w:r>
      <w:r w:rsidR="00C162CF">
        <w:rPr>
          <w:rFonts w:cstheme="minorHAnsi"/>
          <w:b/>
          <w:lang w:val="en-GB"/>
        </w:rPr>
        <w:t>S</w:t>
      </w:r>
      <w:r w:rsidRPr="00D02B10">
        <w:rPr>
          <w:rFonts w:cstheme="minorHAnsi"/>
          <w:b/>
          <w:lang w:val="en-GB"/>
        </w:rPr>
        <w:t xml:space="preserve">tage 3 gateway </w:t>
      </w:r>
      <w:r w:rsidR="007D37F2" w:rsidRPr="00D02B10">
        <w:rPr>
          <w:rFonts w:cstheme="minorHAnsi"/>
          <w:b/>
          <w:lang w:val="en-GB"/>
        </w:rPr>
        <w:t xml:space="preserve"> </w:t>
      </w:r>
    </w:p>
    <w:p w14:paraId="38F01596" w14:textId="77777777" w:rsidR="00670B9B" w:rsidRPr="00D02B10" w:rsidRDefault="00670B9B" w:rsidP="00061555">
      <w:pPr>
        <w:pStyle w:val="NoSpacing"/>
        <w:numPr>
          <w:ilvl w:val="0"/>
          <w:numId w:val="6"/>
        </w:numPr>
        <w:jc w:val="both"/>
        <w:rPr>
          <w:rFonts w:cstheme="minorHAnsi"/>
          <w:b/>
          <w:lang w:val="en-GB"/>
        </w:rPr>
      </w:pPr>
      <w:r w:rsidRPr="00D02B10">
        <w:rPr>
          <w:rFonts w:cstheme="minorHAnsi"/>
          <w:b/>
          <w:lang w:val="en-GB"/>
        </w:rPr>
        <w:t xml:space="preserve">The process for progression to </w:t>
      </w:r>
      <w:r w:rsidR="00C162CF">
        <w:rPr>
          <w:rFonts w:cstheme="minorHAnsi"/>
          <w:b/>
          <w:lang w:val="en-GB"/>
        </w:rPr>
        <w:t>S</w:t>
      </w:r>
      <w:r w:rsidRPr="00D02B10">
        <w:rPr>
          <w:rFonts w:cstheme="minorHAnsi"/>
          <w:b/>
          <w:lang w:val="en-GB"/>
        </w:rPr>
        <w:t xml:space="preserve">tage 3 </w:t>
      </w:r>
    </w:p>
    <w:p w14:paraId="6D78F614" w14:textId="77777777" w:rsidR="00670B9B" w:rsidRPr="00D02B10" w:rsidRDefault="00670B9B" w:rsidP="00061555">
      <w:pPr>
        <w:pStyle w:val="NoSpacing"/>
        <w:numPr>
          <w:ilvl w:val="0"/>
          <w:numId w:val="6"/>
        </w:numPr>
        <w:jc w:val="both"/>
        <w:rPr>
          <w:rFonts w:cstheme="minorHAnsi"/>
          <w:b/>
          <w:lang w:val="en-GB"/>
        </w:rPr>
      </w:pPr>
      <w:r w:rsidRPr="00D02B10">
        <w:rPr>
          <w:rFonts w:cstheme="minorHAnsi"/>
          <w:b/>
          <w:lang w:val="en-GB"/>
        </w:rPr>
        <w:t xml:space="preserve">The delivery of </w:t>
      </w:r>
      <w:r w:rsidR="00C162CF">
        <w:rPr>
          <w:rFonts w:cstheme="minorHAnsi"/>
          <w:b/>
          <w:lang w:val="en-GB"/>
        </w:rPr>
        <w:t>S</w:t>
      </w:r>
      <w:r w:rsidRPr="00D02B10">
        <w:rPr>
          <w:rFonts w:cstheme="minorHAnsi"/>
          <w:b/>
          <w:lang w:val="en-GB"/>
        </w:rPr>
        <w:t xml:space="preserve">tage 3 during </w:t>
      </w:r>
      <w:r w:rsidR="00E841C1" w:rsidRPr="00D02B10">
        <w:rPr>
          <w:rFonts w:cstheme="minorHAnsi"/>
          <w:b/>
          <w:lang w:val="en-GB"/>
        </w:rPr>
        <w:t>the continuing national restrictions</w:t>
      </w:r>
    </w:p>
    <w:p w14:paraId="54854E42" w14:textId="77777777" w:rsidR="002F7C92" w:rsidRPr="00D02B10" w:rsidRDefault="002F7C92" w:rsidP="00061555">
      <w:pPr>
        <w:pStyle w:val="NoSpacing"/>
        <w:numPr>
          <w:ilvl w:val="0"/>
          <w:numId w:val="6"/>
        </w:numPr>
        <w:jc w:val="both"/>
        <w:rPr>
          <w:rFonts w:cstheme="minorHAnsi"/>
          <w:b/>
          <w:lang w:val="en-GB"/>
        </w:rPr>
      </w:pPr>
      <w:r w:rsidRPr="00D02B10">
        <w:rPr>
          <w:rFonts w:cstheme="minorHAnsi"/>
          <w:b/>
          <w:lang w:val="en-GB"/>
        </w:rPr>
        <w:t>Annexes</w:t>
      </w:r>
    </w:p>
    <w:p w14:paraId="19181085" w14:textId="77777777" w:rsidR="002F7C92" w:rsidRDefault="002F7C92" w:rsidP="00061555">
      <w:pPr>
        <w:pStyle w:val="NoSpacing"/>
        <w:ind w:left="720"/>
        <w:jc w:val="both"/>
        <w:rPr>
          <w:rFonts w:cstheme="minorHAnsi"/>
          <w:b/>
          <w:lang w:val="en-GB"/>
        </w:rPr>
      </w:pPr>
    </w:p>
    <w:p w14:paraId="4B3E904A" w14:textId="77777777" w:rsidR="00FE6911" w:rsidRPr="00D02B10" w:rsidRDefault="00FE6911" w:rsidP="00061555">
      <w:pPr>
        <w:pStyle w:val="NoSpacing"/>
        <w:ind w:left="720"/>
        <w:jc w:val="both"/>
        <w:rPr>
          <w:rFonts w:cstheme="minorHAnsi"/>
          <w:b/>
          <w:lang w:val="en-GB"/>
        </w:rPr>
      </w:pPr>
    </w:p>
    <w:p w14:paraId="3A3235C8" w14:textId="77777777" w:rsidR="00785935" w:rsidRPr="00D02B10" w:rsidRDefault="00DE792B" w:rsidP="00061555">
      <w:pPr>
        <w:pStyle w:val="NoSpacing"/>
        <w:numPr>
          <w:ilvl w:val="0"/>
          <w:numId w:val="7"/>
        </w:numPr>
        <w:jc w:val="both"/>
        <w:rPr>
          <w:rFonts w:cstheme="minorHAnsi"/>
          <w:b/>
          <w:lang w:val="en-GB"/>
        </w:rPr>
      </w:pPr>
      <w:r w:rsidRPr="00D02B10">
        <w:rPr>
          <w:rFonts w:cstheme="minorHAnsi"/>
          <w:b/>
          <w:lang w:val="en-GB"/>
        </w:rPr>
        <w:t xml:space="preserve">Stage 3 Regime Gateway </w:t>
      </w:r>
    </w:p>
    <w:p w14:paraId="33461DC3" w14:textId="77777777" w:rsidR="00DE792B" w:rsidRPr="00D02B10" w:rsidRDefault="00DE792B" w:rsidP="00061555">
      <w:pPr>
        <w:pStyle w:val="NoSpacing"/>
        <w:jc w:val="both"/>
        <w:rPr>
          <w:rFonts w:cstheme="minorHAnsi"/>
          <w:lang w:val="en-GB"/>
        </w:rPr>
      </w:pPr>
    </w:p>
    <w:p w14:paraId="23F08F18" w14:textId="77777777" w:rsidR="008B1FEF" w:rsidRPr="00D02B10" w:rsidRDefault="00545FC8" w:rsidP="00061555">
      <w:pPr>
        <w:pStyle w:val="NoSpacing"/>
        <w:jc w:val="both"/>
        <w:rPr>
          <w:rFonts w:cstheme="minorHAnsi"/>
          <w:lang w:val="en-GB"/>
        </w:rPr>
      </w:pPr>
      <w:r w:rsidRPr="00D02B10">
        <w:rPr>
          <w:rFonts w:cstheme="minorHAnsi"/>
          <w:lang w:val="en-GB"/>
        </w:rPr>
        <w:t xml:space="preserve">We will continue to operate under the agreed National Framework, </w:t>
      </w:r>
      <w:r w:rsidR="00B83465">
        <w:rPr>
          <w:rFonts w:cstheme="minorHAnsi"/>
          <w:lang w:val="en-GB"/>
        </w:rPr>
        <w:t>with an</w:t>
      </w:r>
      <w:r w:rsidRPr="00D02B10">
        <w:rPr>
          <w:rFonts w:cstheme="minorHAnsi"/>
          <w:lang w:val="en-GB"/>
        </w:rPr>
        <w:t xml:space="preserve"> approach to </w:t>
      </w:r>
      <w:r w:rsidR="005735B3" w:rsidRPr="00D02B10">
        <w:rPr>
          <w:rFonts w:cstheme="minorHAnsi"/>
          <w:lang w:val="en-GB"/>
        </w:rPr>
        <w:t>e</w:t>
      </w:r>
      <w:r w:rsidRPr="00D02B10">
        <w:rPr>
          <w:rFonts w:cstheme="minorHAnsi"/>
          <w:lang w:val="en-GB"/>
        </w:rPr>
        <w:t xml:space="preserve">asing restrictions </w:t>
      </w:r>
      <w:r w:rsidR="00B83465">
        <w:rPr>
          <w:rFonts w:cstheme="minorHAnsi"/>
          <w:lang w:val="en-GB"/>
        </w:rPr>
        <w:t xml:space="preserve">which </w:t>
      </w:r>
      <w:r w:rsidRPr="00D02B10">
        <w:rPr>
          <w:rFonts w:cstheme="minorHAnsi"/>
          <w:lang w:val="en-GB"/>
        </w:rPr>
        <w:t xml:space="preserve">will be cautious and evidence informed. </w:t>
      </w:r>
      <w:r w:rsidR="002455EA">
        <w:rPr>
          <w:rFonts w:cstheme="minorHAnsi"/>
          <w:lang w:val="en-GB"/>
        </w:rPr>
        <w:t>Any</w:t>
      </w:r>
      <w:r w:rsidR="002455EA" w:rsidRPr="00D02B10">
        <w:rPr>
          <w:rFonts w:cstheme="minorHAnsi"/>
          <w:lang w:val="en-GB"/>
        </w:rPr>
        <w:t xml:space="preserve"> </w:t>
      </w:r>
      <w:r w:rsidR="00350256" w:rsidRPr="00D02B10">
        <w:rPr>
          <w:rFonts w:cstheme="minorHAnsi"/>
          <w:lang w:val="en-GB"/>
        </w:rPr>
        <w:t>easing of restrictions will continue to be informed by both national and local COVID</w:t>
      </w:r>
      <w:r w:rsidR="0076482D">
        <w:rPr>
          <w:rFonts w:cstheme="minorHAnsi"/>
          <w:lang w:val="en-GB"/>
        </w:rPr>
        <w:t>-19</w:t>
      </w:r>
      <w:r w:rsidR="00350256" w:rsidRPr="00D02B10">
        <w:rPr>
          <w:rFonts w:cstheme="minorHAnsi"/>
          <w:lang w:val="en-GB"/>
        </w:rPr>
        <w:t xml:space="preserve"> data and </w:t>
      </w:r>
      <w:r w:rsidR="002455EA">
        <w:rPr>
          <w:rFonts w:cstheme="minorHAnsi"/>
          <w:lang w:val="en-GB"/>
        </w:rPr>
        <w:t>will harness</w:t>
      </w:r>
      <w:r w:rsidR="00350256" w:rsidRPr="00D02B10">
        <w:rPr>
          <w:rFonts w:cstheme="minorHAnsi"/>
          <w:lang w:val="en-GB"/>
        </w:rPr>
        <w:t xml:space="preserve"> learning </w:t>
      </w:r>
      <w:r w:rsidR="00A84E45">
        <w:rPr>
          <w:rFonts w:cstheme="minorHAnsi"/>
          <w:lang w:val="en-GB"/>
        </w:rPr>
        <w:t xml:space="preserve">from </w:t>
      </w:r>
      <w:r w:rsidR="00FE6911">
        <w:rPr>
          <w:rFonts w:cstheme="minorHAnsi"/>
          <w:lang w:val="en-GB"/>
        </w:rPr>
        <w:t>the first wave</w:t>
      </w:r>
      <w:r w:rsidR="00A84E45">
        <w:rPr>
          <w:rFonts w:cstheme="minorHAnsi"/>
          <w:lang w:val="en-GB"/>
        </w:rPr>
        <w:t xml:space="preserve"> </w:t>
      </w:r>
      <w:r w:rsidR="00350256" w:rsidRPr="00D02B10">
        <w:rPr>
          <w:rFonts w:cstheme="minorHAnsi"/>
          <w:lang w:val="en-GB"/>
        </w:rPr>
        <w:t xml:space="preserve">to ensure that </w:t>
      </w:r>
      <w:r w:rsidR="00DE734F" w:rsidRPr="00D02B10">
        <w:rPr>
          <w:rFonts w:cstheme="minorHAnsi"/>
          <w:lang w:val="en-GB"/>
        </w:rPr>
        <w:t>bureaucracy</w:t>
      </w:r>
      <w:r w:rsidR="00417878" w:rsidRPr="00D02B10">
        <w:rPr>
          <w:rFonts w:cstheme="minorHAnsi"/>
          <w:lang w:val="en-GB"/>
        </w:rPr>
        <w:t xml:space="preserve"> is reduced as much as possible, </w:t>
      </w:r>
      <w:r w:rsidR="00DE734F" w:rsidRPr="00D02B10">
        <w:rPr>
          <w:rFonts w:cstheme="minorHAnsi"/>
          <w:lang w:val="en-GB"/>
        </w:rPr>
        <w:t>striving for effe</w:t>
      </w:r>
      <w:r w:rsidR="00FE6911">
        <w:rPr>
          <w:rFonts w:cstheme="minorHAnsi"/>
          <w:lang w:val="en-GB"/>
        </w:rPr>
        <w:t>ctive and efficient governance throughout.</w:t>
      </w:r>
      <w:r w:rsidR="008B0A68">
        <w:rPr>
          <w:rFonts w:cstheme="minorHAnsi"/>
          <w:lang w:val="en-GB"/>
        </w:rPr>
        <w:t xml:space="preserve"> </w:t>
      </w:r>
      <w:r w:rsidR="00D15935">
        <w:rPr>
          <w:rFonts w:cstheme="minorHAnsi"/>
          <w:lang w:val="en-GB"/>
        </w:rPr>
        <w:t xml:space="preserve">We will also continue to </w:t>
      </w:r>
      <w:r w:rsidR="00F05B62">
        <w:rPr>
          <w:rFonts w:cstheme="minorHAnsi"/>
          <w:lang w:val="en-GB"/>
        </w:rPr>
        <w:t>acknowledge</w:t>
      </w:r>
      <w:r w:rsidR="00D15935">
        <w:rPr>
          <w:rFonts w:cstheme="minorHAnsi"/>
          <w:lang w:val="en-GB"/>
        </w:rPr>
        <w:t xml:space="preserve"> differences in community approaches between England and Wales and recognise that it is likely that the </w:t>
      </w:r>
      <w:r w:rsidR="00F05B62">
        <w:rPr>
          <w:rFonts w:cstheme="minorHAnsi"/>
          <w:lang w:val="en-GB"/>
        </w:rPr>
        <w:t>restrictions</w:t>
      </w:r>
      <w:r w:rsidR="00D15935">
        <w:rPr>
          <w:rFonts w:cstheme="minorHAnsi"/>
          <w:lang w:val="en-GB"/>
        </w:rPr>
        <w:t xml:space="preserve"> in place may </w:t>
      </w:r>
      <w:r w:rsidR="003024E3">
        <w:rPr>
          <w:rFonts w:cstheme="minorHAnsi"/>
          <w:lang w:val="en-GB"/>
        </w:rPr>
        <w:t>differ</w:t>
      </w:r>
      <w:r w:rsidR="00D15935">
        <w:rPr>
          <w:rFonts w:cstheme="minorHAnsi"/>
          <w:lang w:val="en-GB"/>
        </w:rPr>
        <w:t xml:space="preserve">, which may affect what prisons are able to do in coming weeks and months. </w:t>
      </w:r>
    </w:p>
    <w:p w14:paraId="5EAE499C" w14:textId="77777777" w:rsidR="00CB6A33" w:rsidRPr="00D02B10" w:rsidRDefault="00CB6A33" w:rsidP="00061555">
      <w:pPr>
        <w:pStyle w:val="NoSpacing"/>
        <w:jc w:val="both"/>
        <w:rPr>
          <w:rFonts w:cstheme="minorHAnsi"/>
          <w:lang w:val="en-GB"/>
        </w:rPr>
      </w:pPr>
    </w:p>
    <w:p w14:paraId="5F4AC0DC" w14:textId="77777777" w:rsidR="007637C3" w:rsidRDefault="00DE734F" w:rsidP="007637C3">
      <w:pPr>
        <w:jc w:val="both"/>
        <w:rPr>
          <w:rFonts w:cstheme="minorHAnsi"/>
        </w:rPr>
      </w:pPr>
      <w:r w:rsidRPr="00D02B10">
        <w:rPr>
          <w:rFonts w:cstheme="minorHAnsi"/>
        </w:rPr>
        <w:t xml:space="preserve">Following </w:t>
      </w:r>
      <w:r w:rsidR="002455EA">
        <w:rPr>
          <w:rFonts w:cstheme="minorHAnsi"/>
        </w:rPr>
        <w:t xml:space="preserve">the </w:t>
      </w:r>
      <w:r w:rsidR="0044418E" w:rsidRPr="00D02B10">
        <w:rPr>
          <w:rFonts w:cstheme="minorHAnsi"/>
        </w:rPr>
        <w:t>recent</w:t>
      </w:r>
      <w:r w:rsidR="002455EA">
        <w:rPr>
          <w:rFonts w:cstheme="minorHAnsi"/>
        </w:rPr>
        <w:t xml:space="preserve"> Government</w:t>
      </w:r>
      <w:r w:rsidR="0044418E" w:rsidRPr="00D02B10">
        <w:rPr>
          <w:rFonts w:cstheme="minorHAnsi"/>
        </w:rPr>
        <w:t xml:space="preserve"> announcements</w:t>
      </w:r>
      <w:r w:rsidR="00DE792B" w:rsidRPr="00D02B10">
        <w:rPr>
          <w:rFonts w:cstheme="minorHAnsi"/>
        </w:rPr>
        <w:t xml:space="preserve">, </w:t>
      </w:r>
      <w:r w:rsidR="0044418E" w:rsidRPr="00D02B10">
        <w:rPr>
          <w:rFonts w:cstheme="minorHAnsi"/>
          <w:b/>
        </w:rPr>
        <w:t xml:space="preserve">we have now received </w:t>
      </w:r>
      <w:r w:rsidR="001F073A">
        <w:rPr>
          <w:rFonts w:cstheme="minorHAnsi"/>
          <w:b/>
        </w:rPr>
        <w:t>M</w:t>
      </w:r>
      <w:r w:rsidR="0044418E" w:rsidRPr="00D02B10">
        <w:rPr>
          <w:rFonts w:cstheme="minorHAnsi"/>
          <w:b/>
        </w:rPr>
        <w:t xml:space="preserve">inisterial permission to re-open the </w:t>
      </w:r>
      <w:r w:rsidR="00F05B62">
        <w:rPr>
          <w:rFonts w:cstheme="minorHAnsi"/>
          <w:b/>
        </w:rPr>
        <w:t>S</w:t>
      </w:r>
      <w:r w:rsidR="0044418E" w:rsidRPr="00D02B10">
        <w:rPr>
          <w:rFonts w:cstheme="minorHAnsi"/>
          <w:b/>
        </w:rPr>
        <w:t xml:space="preserve">tage 3 gateway for adult sites currently delivering </w:t>
      </w:r>
      <w:r w:rsidR="00F05B62">
        <w:rPr>
          <w:rFonts w:cstheme="minorHAnsi"/>
          <w:b/>
        </w:rPr>
        <w:t>S</w:t>
      </w:r>
      <w:r w:rsidR="0044418E" w:rsidRPr="00D02B10">
        <w:rPr>
          <w:rFonts w:cstheme="minorHAnsi"/>
          <w:b/>
        </w:rPr>
        <w:t>tage 4 regimes</w:t>
      </w:r>
      <w:r w:rsidR="0044418E" w:rsidRPr="00D02B10">
        <w:rPr>
          <w:rFonts w:cstheme="minorHAnsi"/>
        </w:rPr>
        <w:t xml:space="preserve">. </w:t>
      </w:r>
      <w:r w:rsidR="002455EA">
        <w:rPr>
          <w:rFonts w:cstheme="minorHAnsi"/>
        </w:rPr>
        <w:t>H</w:t>
      </w:r>
      <w:r w:rsidR="0044418E" w:rsidRPr="00D02B10">
        <w:rPr>
          <w:rFonts w:cstheme="minorHAnsi"/>
        </w:rPr>
        <w:t>owever</w:t>
      </w:r>
      <w:r w:rsidR="002455EA">
        <w:rPr>
          <w:rFonts w:cstheme="minorHAnsi"/>
        </w:rPr>
        <w:t>,</w:t>
      </w:r>
      <w:r w:rsidR="0044418E" w:rsidRPr="00D02B10">
        <w:rPr>
          <w:rFonts w:cstheme="minorHAnsi"/>
        </w:rPr>
        <w:t xml:space="preserve"> </w:t>
      </w:r>
      <w:r w:rsidR="002455EA">
        <w:rPr>
          <w:rFonts w:cstheme="minorHAnsi"/>
        </w:rPr>
        <w:t>t</w:t>
      </w:r>
      <w:r w:rsidR="002455EA" w:rsidRPr="00D02B10">
        <w:rPr>
          <w:rFonts w:cstheme="minorHAnsi"/>
        </w:rPr>
        <w:t xml:space="preserve">his </w:t>
      </w:r>
      <w:r w:rsidR="0044418E" w:rsidRPr="00D02B10">
        <w:rPr>
          <w:rFonts w:cstheme="minorHAnsi"/>
        </w:rPr>
        <w:t>does not mean that a</w:t>
      </w:r>
      <w:r w:rsidR="00B83465">
        <w:rPr>
          <w:rFonts w:cstheme="minorHAnsi"/>
        </w:rPr>
        <w:t>ny</w:t>
      </w:r>
      <w:r w:rsidR="0044418E" w:rsidRPr="00D02B10">
        <w:rPr>
          <w:rFonts w:cstheme="minorHAnsi"/>
        </w:rPr>
        <w:t xml:space="preserve"> establishments </w:t>
      </w:r>
      <w:r w:rsidR="00FE6911">
        <w:rPr>
          <w:rFonts w:cstheme="minorHAnsi"/>
        </w:rPr>
        <w:t xml:space="preserve">can </w:t>
      </w:r>
      <w:r w:rsidR="0044418E" w:rsidRPr="00D02B10">
        <w:rPr>
          <w:rFonts w:cstheme="minorHAnsi"/>
        </w:rPr>
        <w:t xml:space="preserve">automatically </w:t>
      </w:r>
      <w:r w:rsidR="00E346B4" w:rsidRPr="00D02B10">
        <w:rPr>
          <w:rFonts w:cstheme="minorHAnsi"/>
        </w:rPr>
        <w:t xml:space="preserve">progress to </w:t>
      </w:r>
      <w:r w:rsidR="00F05B62">
        <w:rPr>
          <w:rFonts w:cstheme="minorHAnsi"/>
        </w:rPr>
        <w:t>S</w:t>
      </w:r>
      <w:r w:rsidR="00E346B4" w:rsidRPr="00D02B10">
        <w:rPr>
          <w:rFonts w:cstheme="minorHAnsi"/>
        </w:rPr>
        <w:t>tage 3</w:t>
      </w:r>
      <w:r w:rsidR="00B83465">
        <w:rPr>
          <w:rFonts w:cstheme="minorHAnsi"/>
        </w:rPr>
        <w:t xml:space="preserve"> - </w:t>
      </w:r>
      <w:r w:rsidR="004C233C" w:rsidRPr="00D02B10">
        <w:rPr>
          <w:rFonts w:cstheme="minorHAnsi"/>
        </w:rPr>
        <w:t xml:space="preserve">establishments </w:t>
      </w:r>
      <w:r w:rsidR="002622F4" w:rsidRPr="00D02B10">
        <w:rPr>
          <w:rFonts w:cstheme="minorHAnsi"/>
        </w:rPr>
        <w:t xml:space="preserve">must continue to deliver </w:t>
      </w:r>
      <w:r w:rsidR="00F05B62">
        <w:rPr>
          <w:rFonts w:cstheme="minorHAnsi"/>
        </w:rPr>
        <w:t>S</w:t>
      </w:r>
      <w:r w:rsidR="002622F4" w:rsidRPr="00D02B10">
        <w:rPr>
          <w:rFonts w:cstheme="minorHAnsi"/>
        </w:rPr>
        <w:t xml:space="preserve">tage 4 regimes (in line with Gold Briefing </w:t>
      </w:r>
      <w:r w:rsidR="00FE6911">
        <w:rPr>
          <w:rFonts w:cstheme="minorHAnsi"/>
        </w:rPr>
        <w:t>on</w:t>
      </w:r>
      <w:r w:rsidR="002622F4" w:rsidRPr="00D02B10">
        <w:rPr>
          <w:rFonts w:cstheme="minorHAnsi"/>
        </w:rPr>
        <w:t xml:space="preserve"> </w:t>
      </w:r>
      <w:r w:rsidR="004C7F3D" w:rsidRPr="00D02B10">
        <w:rPr>
          <w:rFonts w:cstheme="minorHAnsi"/>
        </w:rPr>
        <w:t>05/02/21)</w:t>
      </w:r>
      <w:r w:rsidR="002622F4" w:rsidRPr="00D02B10">
        <w:rPr>
          <w:rFonts w:cstheme="minorHAnsi"/>
        </w:rPr>
        <w:t xml:space="preserve"> until they </w:t>
      </w:r>
      <w:r w:rsidR="002455EA">
        <w:rPr>
          <w:rFonts w:cstheme="minorHAnsi"/>
        </w:rPr>
        <w:t xml:space="preserve">are given </w:t>
      </w:r>
      <w:r w:rsidR="002622F4" w:rsidRPr="00D02B10">
        <w:rPr>
          <w:rFonts w:cstheme="minorHAnsi"/>
        </w:rPr>
        <w:t xml:space="preserve">approval to progress to </w:t>
      </w:r>
      <w:r w:rsidR="00F05B62">
        <w:rPr>
          <w:rFonts w:cstheme="minorHAnsi"/>
        </w:rPr>
        <w:t>S</w:t>
      </w:r>
      <w:r w:rsidR="002622F4" w:rsidRPr="00D02B10">
        <w:rPr>
          <w:rFonts w:cstheme="minorHAnsi"/>
        </w:rPr>
        <w:t>tage 3.</w:t>
      </w:r>
      <w:r w:rsidR="008B0A68">
        <w:rPr>
          <w:rFonts w:cstheme="minorHAnsi"/>
        </w:rPr>
        <w:t xml:space="preserve"> </w:t>
      </w:r>
    </w:p>
    <w:p w14:paraId="51D593EF" w14:textId="1CACD500" w:rsidR="007637C3" w:rsidRDefault="007637C3" w:rsidP="007637C3">
      <w:pPr>
        <w:jc w:val="both"/>
      </w:pPr>
      <w:r>
        <w:t xml:space="preserve">Open establishments </w:t>
      </w:r>
      <w:r w:rsidR="00F92190">
        <w:t>can</w:t>
      </w:r>
      <w:r>
        <w:t xml:space="preserve"> continue facilitating currently agreed regimes at Stage 4. In order to expand additional regime elements at stage 3, they must follow the process as described within this briefing. </w:t>
      </w:r>
    </w:p>
    <w:p w14:paraId="099913C4" w14:textId="77777777" w:rsidR="004A1260" w:rsidRDefault="007637C3" w:rsidP="00061555">
      <w:pPr>
        <w:spacing w:line="240" w:lineRule="auto"/>
        <w:jc w:val="both"/>
        <w:rPr>
          <w:rFonts w:cstheme="minorHAnsi"/>
        </w:rPr>
      </w:pPr>
      <w:r>
        <w:rPr>
          <w:rFonts w:cstheme="minorHAnsi"/>
        </w:rPr>
        <w:t>W</w:t>
      </w:r>
      <w:r w:rsidR="008B0A68">
        <w:rPr>
          <w:rFonts w:cstheme="minorHAnsi"/>
        </w:rPr>
        <w:t>hilst establishment</w:t>
      </w:r>
      <w:r w:rsidR="001F073A">
        <w:rPr>
          <w:rFonts w:cstheme="minorHAnsi"/>
        </w:rPr>
        <w:t xml:space="preserve"> </w:t>
      </w:r>
      <w:r w:rsidR="008B0A68">
        <w:rPr>
          <w:rFonts w:cstheme="minorHAnsi"/>
        </w:rPr>
        <w:t xml:space="preserve">applications for Stage 3 </w:t>
      </w:r>
      <w:r w:rsidR="001F073A">
        <w:rPr>
          <w:rFonts w:cstheme="minorHAnsi"/>
        </w:rPr>
        <w:t xml:space="preserve">may </w:t>
      </w:r>
      <w:r w:rsidR="008B0A68">
        <w:rPr>
          <w:rFonts w:cstheme="minorHAnsi"/>
        </w:rPr>
        <w:t xml:space="preserve">be processed prior to 8 March and establishments will be able to plan for Stage 3, </w:t>
      </w:r>
      <w:r w:rsidR="001A0AB3">
        <w:rPr>
          <w:rFonts w:cstheme="minorHAnsi"/>
        </w:rPr>
        <w:t xml:space="preserve">implementation </w:t>
      </w:r>
      <w:r w:rsidR="008B0A68">
        <w:rPr>
          <w:rFonts w:cstheme="minorHAnsi"/>
        </w:rPr>
        <w:t xml:space="preserve">will be held until the community roadmap begins on 8 March. </w:t>
      </w:r>
      <w:r w:rsidR="00B83465">
        <w:rPr>
          <w:rFonts w:cstheme="minorHAnsi"/>
        </w:rPr>
        <w:t>Given the current infection levels in the estate, we anticipate very few establishments being in a position to progress to Stage 3 in early March.</w:t>
      </w:r>
      <w:r w:rsidR="002622F4" w:rsidRPr="00D02B10">
        <w:rPr>
          <w:rFonts w:cstheme="minorHAnsi"/>
        </w:rPr>
        <w:t xml:space="preserve"> </w:t>
      </w:r>
      <w:r w:rsidR="004C7F3D" w:rsidRPr="00D02B10">
        <w:rPr>
          <w:rFonts w:cstheme="minorHAnsi"/>
        </w:rPr>
        <w:t xml:space="preserve"> YCS sites are able to continue to deliver their </w:t>
      </w:r>
      <w:r w:rsidR="00BB76A4" w:rsidRPr="00D02B10">
        <w:rPr>
          <w:rFonts w:cstheme="minorHAnsi"/>
        </w:rPr>
        <w:t xml:space="preserve">current </w:t>
      </w:r>
      <w:r w:rsidR="00F05B62">
        <w:rPr>
          <w:rFonts w:cstheme="minorHAnsi"/>
        </w:rPr>
        <w:t>S</w:t>
      </w:r>
      <w:r w:rsidR="004C7F3D" w:rsidRPr="00D02B10">
        <w:rPr>
          <w:rFonts w:cstheme="minorHAnsi"/>
        </w:rPr>
        <w:t>tage 3 regimes in line with the specific regime considerations as listed below</w:t>
      </w:r>
      <w:r w:rsidR="00DE792B" w:rsidRPr="00D02B10">
        <w:rPr>
          <w:rFonts w:cstheme="minorHAnsi"/>
        </w:rPr>
        <w:t xml:space="preserve"> (Section 3)</w:t>
      </w:r>
      <w:r w:rsidR="004C7F3D" w:rsidRPr="00D02B10">
        <w:rPr>
          <w:rFonts w:cstheme="minorHAnsi"/>
        </w:rPr>
        <w:t xml:space="preserve">. </w:t>
      </w:r>
    </w:p>
    <w:p w14:paraId="5097F4CF" w14:textId="117F7CAF" w:rsidR="004C7F3D" w:rsidRDefault="004C7F3D" w:rsidP="00061555">
      <w:pPr>
        <w:spacing w:line="240" w:lineRule="auto"/>
        <w:jc w:val="both"/>
        <w:rPr>
          <w:rFonts w:cstheme="minorHAnsi"/>
          <w:b/>
        </w:rPr>
      </w:pPr>
    </w:p>
    <w:p w14:paraId="62DF1346" w14:textId="77777777" w:rsidR="007D6992" w:rsidRPr="00D02B10" w:rsidRDefault="007D6992" w:rsidP="00061555">
      <w:pPr>
        <w:spacing w:line="240" w:lineRule="auto"/>
        <w:jc w:val="both"/>
        <w:rPr>
          <w:rFonts w:cstheme="minorHAnsi"/>
          <w:b/>
        </w:rPr>
      </w:pPr>
    </w:p>
    <w:p w14:paraId="70978249" w14:textId="77777777" w:rsidR="008B1FEF" w:rsidRPr="00D02B10" w:rsidRDefault="00CB6A33" w:rsidP="00061555">
      <w:pPr>
        <w:pStyle w:val="ListParagraph"/>
        <w:numPr>
          <w:ilvl w:val="0"/>
          <w:numId w:val="7"/>
        </w:numPr>
        <w:jc w:val="both"/>
        <w:rPr>
          <w:rFonts w:asciiTheme="minorHAnsi" w:hAnsiTheme="minorHAnsi" w:cstheme="minorHAnsi"/>
          <w:b/>
        </w:rPr>
      </w:pPr>
      <w:r w:rsidRPr="00D02B10">
        <w:rPr>
          <w:rFonts w:asciiTheme="minorHAnsi" w:hAnsiTheme="minorHAnsi" w:cstheme="minorHAnsi"/>
          <w:b/>
        </w:rPr>
        <w:lastRenderedPageBreak/>
        <w:t>Process for Progression to Stage 3</w:t>
      </w:r>
    </w:p>
    <w:p w14:paraId="7F6E2998" w14:textId="77777777" w:rsidR="00DE792B" w:rsidRPr="00D02B10" w:rsidRDefault="00DE792B" w:rsidP="00061555">
      <w:pPr>
        <w:pStyle w:val="ListParagraph"/>
        <w:ind w:left="360"/>
        <w:jc w:val="both"/>
        <w:rPr>
          <w:rFonts w:asciiTheme="minorHAnsi" w:hAnsiTheme="minorHAnsi" w:cstheme="minorHAnsi"/>
          <w:b/>
        </w:rPr>
      </w:pPr>
    </w:p>
    <w:p w14:paraId="403EAED2" w14:textId="77777777" w:rsidR="004C7F3D" w:rsidRPr="00D02B10" w:rsidRDefault="004C7F3D" w:rsidP="00061555">
      <w:pPr>
        <w:spacing w:line="240" w:lineRule="auto"/>
        <w:jc w:val="both"/>
        <w:rPr>
          <w:rFonts w:cstheme="minorHAnsi"/>
        </w:rPr>
      </w:pPr>
      <w:r w:rsidRPr="00D02B10">
        <w:rPr>
          <w:rFonts w:cstheme="minorHAnsi"/>
        </w:rPr>
        <w:t xml:space="preserve">We have developed a system of governance to manage this progression and to ensure that sites only progress when </w:t>
      </w:r>
      <w:r w:rsidR="00D934C5" w:rsidRPr="00D02B10">
        <w:rPr>
          <w:rFonts w:cstheme="minorHAnsi"/>
        </w:rPr>
        <w:t xml:space="preserve">they are </w:t>
      </w:r>
      <w:r w:rsidRPr="00D02B10">
        <w:rPr>
          <w:rFonts w:cstheme="minorHAnsi"/>
        </w:rPr>
        <w:t>safe and able to do so.</w:t>
      </w:r>
      <w:r w:rsidR="00D934C5" w:rsidRPr="00D02B10">
        <w:rPr>
          <w:rFonts w:cstheme="minorHAnsi"/>
        </w:rPr>
        <w:t xml:space="preserve"> </w:t>
      </w:r>
      <w:r w:rsidR="000C30A6" w:rsidRPr="00D02B10">
        <w:rPr>
          <w:rFonts w:cstheme="minorHAnsi"/>
        </w:rPr>
        <w:t xml:space="preserve">We </w:t>
      </w:r>
      <w:r w:rsidR="005735B3" w:rsidRPr="00D02B10">
        <w:rPr>
          <w:rFonts w:cstheme="minorHAnsi"/>
        </w:rPr>
        <w:t xml:space="preserve">will utilise </w:t>
      </w:r>
      <w:r w:rsidR="00466D1C" w:rsidRPr="00D02B10">
        <w:rPr>
          <w:rFonts w:cstheme="minorHAnsi"/>
        </w:rPr>
        <w:t>existing</w:t>
      </w:r>
      <w:r w:rsidR="005735B3" w:rsidRPr="00D02B10">
        <w:rPr>
          <w:rFonts w:cstheme="minorHAnsi"/>
        </w:rPr>
        <w:t xml:space="preserve"> governance structures to ensure that this can be done in a timely and efficient manner, with </w:t>
      </w:r>
      <w:r w:rsidR="00466D1C" w:rsidRPr="00D02B10">
        <w:rPr>
          <w:rFonts w:cstheme="minorHAnsi"/>
        </w:rPr>
        <w:t xml:space="preserve">the amount of </w:t>
      </w:r>
      <w:r w:rsidR="006C6C0B">
        <w:rPr>
          <w:rFonts w:cstheme="minorHAnsi"/>
        </w:rPr>
        <w:t xml:space="preserve">additional </w:t>
      </w:r>
      <w:r w:rsidR="00466D1C" w:rsidRPr="00D02B10">
        <w:rPr>
          <w:rFonts w:cstheme="minorHAnsi"/>
        </w:rPr>
        <w:t xml:space="preserve">work for establishments </w:t>
      </w:r>
      <w:r w:rsidR="00514C5E">
        <w:rPr>
          <w:rFonts w:cstheme="minorHAnsi"/>
        </w:rPr>
        <w:t xml:space="preserve">kept to a </w:t>
      </w:r>
      <w:r w:rsidR="00466D1C" w:rsidRPr="00D02B10">
        <w:rPr>
          <w:rFonts w:cstheme="minorHAnsi"/>
        </w:rPr>
        <w:t>minim</w:t>
      </w:r>
      <w:r w:rsidR="00514C5E">
        <w:rPr>
          <w:rFonts w:cstheme="minorHAnsi"/>
        </w:rPr>
        <w:t>um</w:t>
      </w:r>
      <w:r w:rsidR="00466D1C" w:rsidRPr="00D02B10">
        <w:rPr>
          <w:rFonts w:cstheme="minorHAnsi"/>
        </w:rPr>
        <w:t xml:space="preserve">. </w:t>
      </w:r>
      <w:r w:rsidR="005C04E6" w:rsidRPr="00D02B10">
        <w:rPr>
          <w:rFonts w:cstheme="minorHAnsi"/>
        </w:rPr>
        <w:t xml:space="preserve">It is expected that progression will be gradual, and </w:t>
      </w:r>
      <w:r w:rsidR="00377634">
        <w:rPr>
          <w:rFonts w:cstheme="minorHAnsi"/>
        </w:rPr>
        <w:t>that it will be some time before</w:t>
      </w:r>
      <w:r w:rsidR="005C04E6" w:rsidRPr="00D02B10">
        <w:rPr>
          <w:rFonts w:cstheme="minorHAnsi"/>
        </w:rPr>
        <w:t xml:space="preserve"> large numbers of establishments </w:t>
      </w:r>
      <w:r w:rsidR="00377634">
        <w:rPr>
          <w:rFonts w:cstheme="minorHAnsi"/>
        </w:rPr>
        <w:t xml:space="preserve">are in a position </w:t>
      </w:r>
      <w:r w:rsidR="005C04E6" w:rsidRPr="00D02B10">
        <w:rPr>
          <w:rFonts w:cstheme="minorHAnsi"/>
        </w:rPr>
        <w:t xml:space="preserve">to progress due to </w:t>
      </w:r>
      <w:r w:rsidR="00FE6911">
        <w:rPr>
          <w:rFonts w:cstheme="minorHAnsi"/>
        </w:rPr>
        <w:t>ongoing</w:t>
      </w:r>
      <w:r w:rsidR="005C04E6" w:rsidRPr="00D02B10">
        <w:rPr>
          <w:rFonts w:cstheme="minorHAnsi"/>
        </w:rPr>
        <w:t xml:space="preserve"> COVID-19 risk</w:t>
      </w:r>
      <w:r w:rsidR="00FE6911">
        <w:rPr>
          <w:rFonts w:cstheme="minorHAnsi"/>
        </w:rPr>
        <w:t>s</w:t>
      </w:r>
      <w:r w:rsidR="005C04E6" w:rsidRPr="00D02B10">
        <w:rPr>
          <w:rFonts w:cstheme="minorHAnsi"/>
        </w:rPr>
        <w:t xml:space="preserve"> and staff</w:t>
      </w:r>
      <w:r w:rsidR="00F3575F">
        <w:rPr>
          <w:rFonts w:cstheme="minorHAnsi"/>
        </w:rPr>
        <w:t xml:space="preserve">ing </w:t>
      </w:r>
      <w:r w:rsidR="00FE6911">
        <w:rPr>
          <w:rFonts w:cstheme="minorHAnsi"/>
        </w:rPr>
        <w:t>pressures</w:t>
      </w:r>
      <w:r w:rsidR="005C04E6" w:rsidRPr="00D02B10">
        <w:rPr>
          <w:rFonts w:cstheme="minorHAnsi"/>
        </w:rPr>
        <w:t xml:space="preserve">. Establishments will be able to progress when the time is right, and the COVID-19 risk is </w:t>
      </w:r>
      <w:r w:rsidR="00FE6911" w:rsidRPr="00D02B10">
        <w:rPr>
          <w:rFonts w:cstheme="minorHAnsi"/>
        </w:rPr>
        <w:t xml:space="preserve">locally </w:t>
      </w:r>
      <w:r w:rsidR="005C04E6" w:rsidRPr="00D02B10">
        <w:rPr>
          <w:rFonts w:cstheme="minorHAnsi"/>
        </w:rPr>
        <w:t>controlled.</w:t>
      </w:r>
    </w:p>
    <w:p w14:paraId="3FC578D8" w14:textId="77777777" w:rsidR="009A1E1F" w:rsidRPr="00D02B10" w:rsidRDefault="00C548E2" w:rsidP="00061555">
      <w:pPr>
        <w:spacing w:line="240" w:lineRule="auto"/>
        <w:jc w:val="both"/>
        <w:rPr>
          <w:rFonts w:cstheme="minorHAnsi"/>
        </w:rPr>
      </w:pPr>
      <w:r w:rsidRPr="00D02B10">
        <w:rPr>
          <w:rFonts w:cstheme="minorHAnsi"/>
        </w:rPr>
        <w:t xml:space="preserve">The HMPPS Heatmap panel will continue to meet each Friday to assign establishment RAG ratings </w:t>
      </w:r>
      <w:r w:rsidR="00360325" w:rsidRPr="00D02B10">
        <w:rPr>
          <w:rFonts w:cstheme="minorHAnsi"/>
        </w:rPr>
        <w:t>based on</w:t>
      </w:r>
      <w:r w:rsidR="00FE6911">
        <w:rPr>
          <w:rFonts w:cstheme="minorHAnsi"/>
        </w:rPr>
        <w:t xml:space="preserve"> their</w:t>
      </w:r>
      <w:r w:rsidR="00360325" w:rsidRPr="00D02B10">
        <w:rPr>
          <w:rFonts w:cstheme="minorHAnsi"/>
        </w:rPr>
        <w:t xml:space="preserve"> COVID-19 risk</w:t>
      </w:r>
      <w:r w:rsidR="00FE6911">
        <w:rPr>
          <w:rFonts w:cstheme="minorHAnsi"/>
        </w:rPr>
        <w:t xml:space="preserve"> levels</w:t>
      </w:r>
      <w:r w:rsidR="00360325" w:rsidRPr="00D02B10">
        <w:rPr>
          <w:rFonts w:cstheme="minorHAnsi"/>
        </w:rPr>
        <w:t xml:space="preserve">. The Heatmap </w:t>
      </w:r>
      <w:r w:rsidR="003247F5">
        <w:rPr>
          <w:rFonts w:cstheme="minorHAnsi"/>
        </w:rPr>
        <w:t xml:space="preserve">panel </w:t>
      </w:r>
      <w:r w:rsidR="00360325" w:rsidRPr="00D02B10">
        <w:rPr>
          <w:rFonts w:cstheme="minorHAnsi"/>
        </w:rPr>
        <w:t xml:space="preserve">will also now </w:t>
      </w:r>
      <w:r w:rsidR="00FE6911">
        <w:rPr>
          <w:rFonts w:cstheme="minorHAnsi"/>
        </w:rPr>
        <w:t>produce a</w:t>
      </w:r>
      <w:r w:rsidR="00E47081" w:rsidRPr="00D02B10">
        <w:rPr>
          <w:rFonts w:cstheme="minorHAnsi"/>
        </w:rPr>
        <w:t xml:space="preserve"> </w:t>
      </w:r>
      <w:r w:rsidR="00EB5128">
        <w:rPr>
          <w:rFonts w:cstheme="minorHAnsi"/>
        </w:rPr>
        <w:t>‘</w:t>
      </w:r>
      <w:r w:rsidR="00EB5128">
        <w:rPr>
          <w:rFonts w:cstheme="minorHAnsi"/>
          <w:b/>
        </w:rPr>
        <w:t>P</w:t>
      </w:r>
      <w:r w:rsidR="00E47081" w:rsidRPr="00D82D1C">
        <w:rPr>
          <w:rFonts w:cstheme="minorHAnsi"/>
          <w:b/>
        </w:rPr>
        <w:t xml:space="preserve">rogression </w:t>
      </w:r>
      <w:r w:rsidR="00EB5128">
        <w:rPr>
          <w:rFonts w:cstheme="minorHAnsi"/>
          <w:b/>
        </w:rPr>
        <w:t>L</w:t>
      </w:r>
      <w:r w:rsidR="00E47081" w:rsidRPr="00D82D1C">
        <w:rPr>
          <w:rFonts w:cstheme="minorHAnsi"/>
          <w:b/>
        </w:rPr>
        <w:t>ist</w:t>
      </w:r>
      <w:r w:rsidR="00EB5128">
        <w:rPr>
          <w:rFonts w:cstheme="minorHAnsi"/>
          <w:b/>
        </w:rPr>
        <w:t>’</w:t>
      </w:r>
      <w:r w:rsidR="00E47081" w:rsidRPr="00D02B10">
        <w:rPr>
          <w:rFonts w:cstheme="minorHAnsi"/>
        </w:rPr>
        <w:t xml:space="preserve"> which will </w:t>
      </w:r>
      <w:r w:rsidR="00FE6911">
        <w:rPr>
          <w:rFonts w:cstheme="minorHAnsi"/>
        </w:rPr>
        <w:t>outline</w:t>
      </w:r>
      <w:r w:rsidR="00825B42" w:rsidRPr="00D02B10">
        <w:rPr>
          <w:rFonts w:cstheme="minorHAnsi"/>
        </w:rPr>
        <w:t xml:space="preserve"> </w:t>
      </w:r>
      <w:r w:rsidR="00505800" w:rsidRPr="00D02B10">
        <w:rPr>
          <w:rFonts w:cstheme="minorHAnsi"/>
        </w:rPr>
        <w:t xml:space="preserve">which establishments </w:t>
      </w:r>
      <w:r w:rsidR="00C20ACF" w:rsidRPr="00D02B10">
        <w:rPr>
          <w:rFonts w:cstheme="minorHAnsi"/>
        </w:rPr>
        <w:t>are deemed able to progress, based on their local COVID</w:t>
      </w:r>
      <w:r w:rsidR="00F05B62">
        <w:rPr>
          <w:rFonts w:cstheme="minorHAnsi"/>
        </w:rPr>
        <w:t>-19</w:t>
      </w:r>
      <w:r w:rsidR="00C20ACF" w:rsidRPr="00D02B10">
        <w:rPr>
          <w:rFonts w:cstheme="minorHAnsi"/>
        </w:rPr>
        <w:t xml:space="preserve"> risk.</w:t>
      </w:r>
      <w:r w:rsidR="00084033" w:rsidRPr="00D02B10">
        <w:rPr>
          <w:rFonts w:eastAsia="Times New Roman" w:cstheme="minorHAnsi"/>
        </w:rPr>
        <w:t xml:space="preserve"> </w:t>
      </w:r>
      <w:r w:rsidR="00FE6911">
        <w:rPr>
          <w:rFonts w:eastAsia="Times New Roman" w:cstheme="minorHAnsi"/>
        </w:rPr>
        <w:t xml:space="preserve">The determination </w:t>
      </w:r>
      <w:r w:rsidR="006C6C0B">
        <w:rPr>
          <w:rFonts w:eastAsia="Times New Roman" w:cstheme="minorHAnsi"/>
        </w:rPr>
        <w:t>of which</w:t>
      </w:r>
      <w:r w:rsidR="00084033" w:rsidRPr="00D02B10">
        <w:rPr>
          <w:rFonts w:eastAsia="Times New Roman" w:cstheme="minorHAnsi"/>
        </w:rPr>
        <w:t xml:space="preserve"> establishment</w:t>
      </w:r>
      <w:r w:rsidR="006C6C0B">
        <w:rPr>
          <w:rFonts w:eastAsia="Times New Roman" w:cstheme="minorHAnsi"/>
        </w:rPr>
        <w:t xml:space="preserve">s </w:t>
      </w:r>
      <w:r w:rsidR="00FE6911">
        <w:rPr>
          <w:rFonts w:eastAsia="Times New Roman" w:cstheme="minorHAnsi"/>
        </w:rPr>
        <w:t>are included in the</w:t>
      </w:r>
      <w:r w:rsidR="00084033" w:rsidRPr="00D02B10">
        <w:rPr>
          <w:rFonts w:eastAsia="Times New Roman" w:cstheme="minorHAnsi"/>
        </w:rPr>
        <w:t xml:space="preserve"> </w:t>
      </w:r>
      <w:r w:rsidR="00EB5128">
        <w:rPr>
          <w:rFonts w:eastAsia="Times New Roman" w:cstheme="minorHAnsi"/>
        </w:rPr>
        <w:t>p</w:t>
      </w:r>
      <w:r w:rsidR="00084033" w:rsidRPr="00D02B10">
        <w:rPr>
          <w:rFonts w:eastAsia="Times New Roman" w:cstheme="minorHAnsi"/>
        </w:rPr>
        <w:t xml:space="preserve">rogression </w:t>
      </w:r>
      <w:r w:rsidR="006C6C0B">
        <w:rPr>
          <w:rFonts w:eastAsia="Times New Roman" w:cstheme="minorHAnsi"/>
        </w:rPr>
        <w:t>l</w:t>
      </w:r>
      <w:r w:rsidR="00084033" w:rsidRPr="00D02B10">
        <w:rPr>
          <w:rFonts w:eastAsia="Times New Roman" w:cstheme="minorHAnsi"/>
        </w:rPr>
        <w:t>ist</w:t>
      </w:r>
      <w:r w:rsidR="006C6C0B">
        <w:rPr>
          <w:rFonts w:eastAsia="Times New Roman" w:cstheme="minorHAnsi"/>
        </w:rPr>
        <w:t xml:space="preserve"> will be driven by the data and evidence</w:t>
      </w:r>
      <w:r w:rsidR="00FE6911">
        <w:rPr>
          <w:rFonts w:eastAsia="Times New Roman" w:cstheme="minorHAnsi"/>
        </w:rPr>
        <w:t>. F</w:t>
      </w:r>
      <w:r w:rsidR="00084033" w:rsidRPr="00D02B10">
        <w:rPr>
          <w:rFonts w:eastAsia="Times New Roman" w:cstheme="minorHAnsi"/>
        </w:rPr>
        <w:t>or example</w:t>
      </w:r>
      <w:r w:rsidR="00F05B62">
        <w:rPr>
          <w:rFonts w:eastAsia="Times New Roman" w:cstheme="minorHAnsi"/>
        </w:rPr>
        <w:t>,</w:t>
      </w:r>
      <w:r w:rsidR="00084033" w:rsidRPr="00D02B10">
        <w:rPr>
          <w:rFonts w:eastAsia="Times New Roman" w:cstheme="minorHAnsi"/>
        </w:rPr>
        <w:t xml:space="preserve"> a consistent steady decline in case rates and prevalence estimates, any live outbreak being evidenced as being under control, and the absence of new cases being identified</w:t>
      </w:r>
      <w:r w:rsidR="000E4A6B">
        <w:rPr>
          <w:rFonts w:eastAsia="Times New Roman" w:cstheme="minorHAnsi"/>
        </w:rPr>
        <w:t xml:space="preserve"> which are indicative of establishment transmission</w:t>
      </w:r>
      <w:r w:rsidR="00084033" w:rsidRPr="00D02B10">
        <w:rPr>
          <w:rFonts w:eastAsia="Times New Roman" w:cstheme="minorHAnsi"/>
        </w:rPr>
        <w:t xml:space="preserve">.  In those circumstances we would have confidence that the risk </w:t>
      </w:r>
      <w:r w:rsidR="006C6C0B">
        <w:rPr>
          <w:rFonts w:eastAsia="Times New Roman" w:cstheme="minorHAnsi"/>
        </w:rPr>
        <w:t>had been</w:t>
      </w:r>
      <w:r w:rsidR="006C6C0B" w:rsidRPr="00D02B10">
        <w:rPr>
          <w:rFonts w:eastAsia="Times New Roman" w:cstheme="minorHAnsi"/>
        </w:rPr>
        <w:t xml:space="preserve"> </w:t>
      </w:r>
      <w:r w:rsidR="00084033" w:rsidRPr="00D02B10">
        <w:rPr>
          <w:rFonts w:eastAsia="Times New Roman" w:cstheme="minorHAnsi"/>
        </w:rPr>
        <w:t xml:space="preserve">reduced. </w:t>
      </w:r>
      <w:r w:rsidR="00C20ACF" w:rsidRPr="00D02B10">
        <w:rPr>
          <w:rFonts w:cstheme="minorHAnsi"/>
        </w:rPr>
        <w:t xml:space="preserve"> </w:t>
      </w:r>
      <w:r w:rsidR="00B3041A" w:rsidRPr="00D02B10">
        <w:rPr>
          <w:rFonts w:cstheme="minorHAnsi"/>
        </w:rPr>
        <w:t>Th</w:t>
      </w:r>
      <w:r w:rsidR="006C6C0B">
        <w:rPr>
          <w:rFonts w:cstheme="minorHAnsi"/>
        </w:rPr>
        <w:t>e</w:t>
      </w:r>
      <w:r w:rsidR="00B3041A" w:rsidRPr="00D02B10">
        <w:rPr>
          <w:rFonts w:cstheme="minorHAnsi"/>
        </w:rPr>
        <w:t xml:space="preserve"> panel </w:t>
      </w:r>
      <w:r w:rsidR="003C33D0">
        <w:rPr>
          <w:rFonts w:cstheme="minorHAnsi"/>
        </w:rPr>
        <w:t xml:space="preserve">will </w:t>
      </w:r>
      <w:r w:rsidR="00B3041A" w:rsidRPr="00D02B10">
        <w:rPr>
          <w:rFonts w:cstheme="minorHAnsi"/>
        </w:rPr>
        <w:t xml:space="preserve">continue to be attended by a diverse </w:t>
      </w:r>
      <w:r w:rsidR="004C424A" w:rsidRPr="00D02B10">
        <w:rPr>
          <w:rFonts w:cstheme="minorHAnsi"/>
        </w:rPr>
        <w:t xml:space="preserve">group of HMPPS and public health </w:t>
      </w:r>
      <w:r w:rsidR="00F50A92" w:rsidRPr="00D02B10">
        <w:rPr>
          <w:rFonts w:cstheme="minorHAnsi"/>
        </w:rPr>
        <w:t>representatives and</w:t>
      </w:r>
      <w:r w:rsidR="004C424A" w:rsidRPr="00D02B10">
        <w:rPr>
          <w:rFonts w:cstheme="minorHAnsi"/>
        </w:rPr>
        <w:t xml:space="preserve"> will make decisions based on a holistic view of all available </w:t>
      </w:r>
      <w:r w:rsidR="00F50A92" w:rsidRPr="00D02B10">
        <w:rPr>
          <w:rFonts w:cstheme="minorHAnsi"/>
        </w:rPr>
        <w:t xml:space="preserve">health and operational </w:t>
      </w:r>
      <w:r w:rsidR="004C424A" w:rsidRPr="00D02B10">
        <w:rPr>
          <w:rFonts w:cstheme="minorHAnsi"/>
        </w:rPr>
        <w:t xml:space="preserve">data. </w:t>
      </w:r>
    </w:p>
    <w:p w14:paraId="15B9C60C" w14:textId="77777777" w:rsidR="00F3575F" w:rsidRPr="00D02B10" w:rsidRDefault="00140498" w:rsidP="00061555">
      <w:pPr>
        <w:spacing w:line="240" w:lineRule="auto"/>
        <w:jc w:val="both"/>
        <w:rPr>
          <w:rFonts w:cstheme="minorHAnsi"/>
        </w:rPr>
      </w:pPr>
      <w:r w:rsidRPr="001624B3">
        <w:rPr>
          <w:rFonts w:cstheme="minorHAnsi"/>
        </w:rPr>
        <w:t>Once an individual establishment has been added to the progression list, this will be clearly marked on the published Heatmap, and the establishment will be informed via their PGD office</w:t>
      </w:r>
      <w:r w:rsidR="0087001D" w:rsidRPr="001624B3">
        <w:rPr>
          <w:rFonts w:cstheme="minorHAnsi"/>
        </w:rPr>
        <w:t xml:space="preserve"> that they have been invited to progress their regimes.</w:t>
      </w:r>
      <w:r w:rsidR="0087001D" w:rsidRPr="00D02B10">
        <w:rPr>
          <w:rFonts w:cstheme="minorHAnsi"/>
        </w:rPr>
        <w:t xml:space="preserve"> </w:t>
      </w:r>
      <w:r w:rsidR="00FE6911">
        <w:rPr>
          <w:rFonts w:cstheme="minorHAnsi"/>
        </w:rPr>
        <w:t>I</w:t>
      </w:r>
      <w:r w:rsidR="00F3575F">
        <w:rPr>
          <w:rFonts w:cstheme="minorHAnsi"/>
        </w:rPr>
        <w:t xml:space="preserve">f evidence suggests that risk levels have increased, or the situation at a local site changes following addition to the progression list, they may be removed. This will be clearly communicated. </w:t>
      </w:r>
    </w:p>
    <w:p w14:paraId="12EF6A17" w14:textId="77777777" w:rsidR="0087001D" w:rsidRPr="00D02B10" w:rsidRDefault="00C632F3" w:rsidP="00061555">
      <w:pPr>
        <w:spacing w:line="240" w:lineRule="auto"/>
        <w:jc w:val="both"/>
        <w:rPr>
          <w:rFonts w:cstheme="minorHAnsi"/>
        </w:rPr>
      </w:pPr>
      <w:r w:rsidRPr="00D02B10">
        <w:rPr>
          <w:rFonts w:cstheme="minorHAnsi"/>
        </w:rPr>
        <w:t>The establishment will then be</w:t>
      </w:r>
      <w:r w:rsidR="00C15C84" w:rsidRPr="00D02B10">
        <w:rPr>
          <w:rFonts w:cstheme="minorHAnsi"/>
        </w:rPr>
        <w:t xml:space="preserve"> asked to provide assurance that they are ready and able to progress. This assurance process consists of a singl</w:t>
      </w:r>
      <w:r w:rsidR="00377634">
        <w:rPr>
          <w:rFonts w:cstheme="minorHAnsi"/>
        </w:rPr>
        <w:t>e</w:t>
      </w:r>
      <w:r w:rsidR="00C15C84" w:rsidRPr="00D02B10">
        <w:rPr>
          <w:rFonts w:cstheme="minorHAnsi"/>
        </w:rPr>
        <w:t xml:space="preserve"> </w:t>
      </w:r>
      <w:r w:rsidR="00B121D7" w:rsidRPr="00D02B10">
        <w:rPr>
          <w:rFonts w:eastAsia="Times New Roman" w:cstheme="minorHAnsi"/>
        </w:rPr>
        <w:t xml:space="preserve">checklist document </w:t>
      </w:r>
      <w:r w:rsidR="00804F24" w:rsidRPr="00D02B10">
        <w:rPr>
          <w:rFonts w:eastAsia="Times New Roman" w:cstheme="minorHAnsi"/>
        </w:rPr>
        <w:t xml:space="preserve">(Annex A) </w:t>
      </w:r>
      <w:r w:rsidR="00FE6911">
        <w:rPr>
          <w:rFonts w:eastAsia="Times New Roman" w:cstheme="minorHAnsi"/>
        </w:rPr>
        <w:t xml:space="preserve">which establishments will complete, demonstrating </w:t>
      </w:r>
      <w:r w:rsidR="00B121D7" w:rsidRPr="00D02B10">
        <w:rPr>
          <w:rFonts w:eastAsia="Times New Roman" w:cstheme="minorHAnsi"/>
        </w:rPr>
        <w:t>that assurance work has been unde</w:t>
      </w:r>
      <w:r w:rsidR="00FE6911">
        <w:rPr>
          <w:rFonts w:eastAsia="Times New Roman" w:cstheme="minorHAnsi"/>
        </w:rPr>
        <w:t xml:space="preserve">rtaken and that health partners, </w:t>
      </w:r>
      <w:r w:rsidR="00B121D7" w:rsidRPr="00D02B10">
        <w:rPr>
          <w:rFonts w:eastAsia="Times New Roman" w:cstheme="minorHAnsi"/>
        </w:rPr>
        <w:t xml:space="preserve">relevant stakeholders </w:t>
      </w:r>
      <w:r w:rsidR="00EA756C" w:rsidRPr="00D02B10">
        <w:rPr>
          <w:rFonts w:eastAsia="Times New Roman" w:cstheme="minorHAnsi"/>
        </w:rPr>
        <w:t xml:space="preserve">and </w:t>
      </w:r>
      <w:r w:rsidR="00D320EB">
        <w:rPr>
          <w:rFonts w:eastAsia="Times New Roman" w:cstheme="minorHAnsi"/>
        </w:rPr>
        <w:t xml:space="preserve">local </w:t>
      </w:r>
      <w:r w:rsidR="00EA756C" w:rsidRPr="00D02B10">
        <w:rPr>
          <w:rFonts w:eastAsia="Times New Roman" w:cstheme="minorHAnsi"/>
        </w:rPr>
        <w:t xml:space="preserve">Trade Unions </w:t>
      </w:r>
      <w:r w:rsidR="00B121D7" w:rsidRPr="00D02B10">
        <w:rPr>
          <w:rFonts w:eastAsia="Times New Roman" w:cstheme="minorHAnsi"/>
        </w:rPr>
        <w:t>are satisfied that delivery of Stage 3 regimes is appropriate at that time</w:t>
      </w:r>
      <w:r w:rsidR="007F2BAE">
        <w:rPr>
          <w:rFonts w:eastAsia="Times New Roman" w:cstheme="minorHAnsi"/>
        </w:rPr>
        <w:t xml:space="preserve"> or have been fully consulted</w:t>
      </w:r>
      <w:r w:rsidR="00C15C84" w:rsidRPr="00D02B10">
        <w:rPr>
          <w:rFonts w:cstheme="minorHAnsi"/>
        </w:rPr>
        <w:t xml:space="preserve">. </w:t>
      </w:r>
      <w:r w:rsidR="002F631B" w:rsidRPr="00D02B10">
        <w:rPr>
          <w:rFonts w:cstheme="minorHAnsi"/>
        </w:rPr>
        <w:t xml:space="preserve">We have built on learning from the first </w:t>
      </w:r>
      <w:r w:rsidR="00804F24" w:rsidRPr="00D02B10">
        <w:rPr>
          <w:rFonts w:cstheme="minorHAnsi"/>
        </w:rPr>
        <w:t>wave and</w:t>
      </w:r>
      <w:r w:rsidR="002F631B" w:rsidRPr="00D02B10">
        <w:rPr>
          <w:rFonts w:cstheme="minorHAnsi"/>
        </w:rPr>
        <w:t xml:space="preserve"> have simplified this process as much as possible. </w:t>
      </w:r>
      <w:r w:rsidR="00CD69AB" w:rsidRPr="00D02B10">
        <w:rPr>
          <w:rFonts w:cstheme="minorHAnsi"/>
        </w:rPr>
        <w:t>Establishments will therefore not be required to re-submit any EDMs and will be able to revert to the Local Operating Procedures for Stage 3</w:t>
      </w:r>
      <w:r w:rsidR="00BE2D5E">
        <w:rPr>
          <w:rFonts w:cstheme="minorHAnsi"/>
        </w:rPr>
        <w:t xml:space="preserve"> they had in place prior to the January </w:t>
      </w:r>
      <w:r w:rsidR="00BE2D5E" w:rsidRPr="00D02B10">
        <w:rPr>
          <w:rFonts w:cstheme="minorHAnsi"/>
        </w:rPr>
        <w:t>national restriction</w:t>
      </w:r>
      <w:r w:rsidR="00BE2D5E">
        <w:rPr>
          <w:rFonts w:cstheme="minorHAnsi"/>
        </w:rPr>
        <w:t>s</w:t>
      </w:r>
      <w:r w:rsidR="00CD69AB" w:rsidRPr="00D02B10">
        <w:rPr>
          <w:rFonts w:cstheme="minorHAnsi"/>
        </w:rPr>
        <w:t xml:space="preserve">, mindful of the additional restrictions set out </w:t>
      </w:r>
      <w:r w:rsidR="00FE6911">
        <w:rPr>
          <w:rFonts w:cstheme="minorHAnsi"/>
        </w:rPr>
        <w:t>below</w:t>
      </w:r>
      <w:r w:rsidR="00CD69AB" w:rsidRPr="00D02B10">
        <w:rPr>
          <w:rFonts w:cstheme="minorHAnsi"/>
        </w:rPr>
        <w:t xml:space="preserve">. </w:t>
      </w:r>
      <w:r w:rsidR="00A70A4B">
        <w:rPr>
          <w:rFonts w:cstheme="minorHAnsi"/>
        </w:rPr>
        <w:t xml:space="preserve">Establishments </w:t>
      </w:r>
      <w:r w:rsidR="007F2BAE">
        <w:rPr>
          <w:rFonts w:cstheme="minorHAnsi"/>
        </w:rPr>
        <w:t>can</w:t>
      </w:r>
      <w:r w:rsidR="00A70A4B">
        <w:rPr>
          <w:rFonts w:cstheme="minorHAnsi"/>
        </w:rPr>
        <w:t xml:space="preserve"> start preparing </w:t>
      </w:r>
      <w:r w:rsidR="007F2BAE">
        <w:rPr>
          <w:rFonts w:cstheme="minorHAnsi"/>
        </w:rPr>
        <w:t>immediately but</w:t>
      </w:r>
      <w:r w:rsidR="00A70A4B">
        <w:rPr>
          <w:rFonts w:cstheme="minorHAnsi"/>
        </w:rPr>
        <w:t xml:space="preserve"> are reminded that any progression decisions will not come into </w:t>
      </w:r>
      <w:r w:rsidR="00DB543E">
        <w:rPr>
          <w:rFonts w:cstheme="minorHAnsi"/>
        </w:rPr>
        <w:t xml:space="preserve">effect </w:t>
      </w:r>
      <w:r w:rsidR="00A70A4B">
        <w:rPr>
          <w:rFonts w:cstheme="minorHAnsi"/>
        </w:rPr>
        <w:t xml:space="preserve">until at least 8 March, subject to sign off. </w:t>
      </w:r>
    </w:p>
    <w:p w14:paraId="05C5C2E2" w14:textId="77777777" w:rsidR="0089547D" w:rsidRPr="00324BC1" w:rsidRDefault="0051698B" w:rsidP="00061555">
      <w:pPr>
        <w:spacing w:line="240" w:lineRule="auto"/>
        <w:jc w:val="both"/>
        <w:rPr>
          <w:rFonts w:cstheme="minorHAnsi"/>
        </w:rPr>
      </w:pPr>
      <w:r w:rsidRPr="00D02B10">
        <w:rPr>
          <w:rFonts w:cstheme="minorHAnsi"/>
        </w:rPr>
        <w:t>This checklist form will then be submitted to the Gold Regime Panel</w:t>
      </w:r>
      <w:r w:rsidR="00B83401" w:rsidRPr="00D02B10">
        <w:rPr>
          <w:rFonts w:cstheme="minorHAnsi"/>
        </w:rPr>
        <w:t xml:space="preserve"> </w:t>
      </w:r>
      <w:r w:rsidR="00BE2D5E">
        <w:rPr>
          <w:rFonts w:cstheme="minorHAnsi"/>
        </w:rPr>
        <w:t>and</w:t>
      </w:r>
      <w:r w:rsidR="00FE6911">
        <w:rPr>
          <w:rFonts w:cstheme="minorHAnsi"/>
        </w:rPr>
        <w:t xml:space="preserve"> will</w:t>
      </w:r>
      <w:r w:rsidR="00D95BC4" w:rsidRPr="00D02B10">
        <w:rPr>
          <w:rFonts w:cstheme="minorHAnsi"/>
        </w:rPr>
        <w:t xml:space="preserve"> be presented by </w:t>
      </w:r>
      <w:r w:rsidR="0052780A" w:rsidRPr="00D02B10">
        <w:rPr>
          <w:rFonts w:cstheme="minorHAnsi"/>
        </w:rPr>
        <w:t xml:space="preserve">a representative from the </w:t>
      </w:r>
      <w:r w:rsidR="00A70A4B">
        <w:rPr>
          <w:rFonts w:cstheme="minorHAnsi"/>
        </w:rPr>
        <w:t>ED</w:t>
      </w:r>
      <w:r w:rsidR="00DF5938">
        <w:rPr>
          <w:rFonts w:cstheme="minorHAnsi"/>
        </w:rPr>
        <w:t>’s</w:t>
      </w:r>
      <w:r w:rsidR="0052780A" w:rsidRPr="00D02B10">
        <w:rPr>
          <w:rFonts w:cstheme="minorHAnsi"/>
        </w:rPr>
        <w:t xml:space="preserve"> office</w:t>
      </w:r>
      <w:r w:rsidR="00BE2D5E">
        <w:rPr>
          <w:rFonts w:cstheme="minorHAnsi"/>
        </w:rPr>
        <w:t xml:space="preserve"> at the next panel meeting</w:t>
      </w:r>
      <w:r w:rsidR="0052780A" w:rsidRPr="00D02B10">
        <w:rPr>
          <w:rFonts w:cstheme="minorHAnsi"/>
        </w:rPr>
        <w:t xml:space="preserve">. </w:t>
      </w:r>
      <w:r w:rsidR="00FE6911">
        <w:rPr>
          <w:rFonts w:cstheme="minorHAnsi"/>
        </w:rPr>
        <w:t>Provided that</w:t>
      </w:r>
      <w:r w:rsidR="0089547D" w:rsidRPr="00D02B10">
        <w:rPr>
          <w:rFonts w:cstheme="minorHAnsi"/>
        </w:rPr>
        <w:t xml:space="preserve"> assurance requirements are </w:t>
      </w:r>
      <w:r w:rsidR="00FE6911">
        <w:rPr>
          <w:rFonts w:cstheme="minorHAnsi"/>
        </w:rPr>
        <w:t>met</w:t>
      </w:r>
      <w:r w:rsidR="0089547D" w:rsidRPr="00D02B10">
        <w:rPr>
          <w:rFonts w:cstheme="minorHAnsi"/>
        </w:rPr>
        <w:t xml:space="preserve">, establishments will be signed off to progress to Stage 3, in line with the Stage 3 considerations </w:t>
      </w:r>
      <w:r w:rsidR="0089547D" w:rsidRPr="00324BC1">
        <w:rPr>
          <w:rFonts w:cstheme="minorHAnsi"/>
        </w:rPr>
        <w:t xml:space="preserve">listed below. </w:t>
      </w:r>
      <w:r w:rsidR="00804F24" w:rsidRPr="00324BC1">
        <w:rPr>
          <w:rFonts w:cstheme="minorHAnsi"/>
        </w:rPr>
        <w:t xml:space="preserve">A simple flowchart to demonstrate this process is provided at Annex B. </w:t>
      </w:r>
    </w:p>
    <w:p w14:paraId="0ED2195E" w14:textId="3A026EB9" w:rsidR="00061E68" w:rsidRDefault="00061E68" w:rsidP="00061555">
      <w:pPr>
        <w:spacing w:line="240" w:lineRule="auto"/>
        <w:jc w:val="both"/>
        <w:rPr>
          <w:rFonts w:cstheme="minorHAnsi"/>
        </w:rPr>
      </w:pPr>
      <w:r w:rsidRPr="00324BC1">
        <w:rPr>
          <w:rFonts w:cstheme="minorHAnsi"/>
        </w:rPr>
        <w:t xml:space="preserve">Where an establishment has not been placed on the Progression List, but the Governor/Director perceives that they are in a local position to proceed their regimes to Stage 3 or the local circumstances or risk picture may necessitate swifter </w:t>
      </w:r>
      <w:r w:rsidR="00A06BC2" w:rsidRPr="00324BC1">
        <w:rPr>
          <w:rFonts w:cstheme="minorHAnsi"/>
        </w:rPr>
        <w:t>progression (for example in the women’s estate to mediate increased risk of self-harm)</w:t>
      </w:r>
      <w:r w:rsidR="00377634">
        <w:rPr>
          <w:rFonts w:cstheme="minorHAnsi"/>
        </w:rPr>
        <w:t>,</w:t>
      </w:r>
      <w:r w:rsidRPr="00324BC1">
        <w:rPr>
          <w:rFonts w:cstheme="minorHAnsi"/>
        </w:rPr>
        <w:t xml:space="preserve"> there will be an exception process in place.</w:t>
      </w:r>
      <w:r w:rsidR="004D359B">
        <w:rPr>
          <w:rFonts w:cstheme="minorHAnsi"/>
        </w:rPr>
        <w:t xml:space="preserve"> </w:t>
      </w:r>
      <w:r w:rsidRPr="00324BC1">
        <w:rPr>
          <w:rFonts w:cstheme="minorHAnsi"/>
        </w:rPr>
        <w:t>This will mean that the</w:t>
      </w:r>
      <w:r w:rsidR="00A06BC2" w:rsidRPr="00324BC1">
        <w:rPr>
          <w:rFonts w:cstheme="minorHAnsi"/>
        </w:rPr>
        <w:t xml:space="preserve"> establishment</w:t>
      </w:r>
      <w:r w:rsidRPr="00324BC1">
        <w:rPr>
          <w:rFonts w:cstheme="minorHAnsi"/>
        </w:rPr>
        <w:t xml:space="preserve"> will be able to submit the checklist form to the regime panel. We will then retrospectively </w:t>
      </w:r>
      <w:r w:rsidR="008C2BF9">
        <w:rPr>
          <w:rFonts w:cstheme="minorHAnsi"/>
        </w:rPr>
        <w:t>review</w:t>
      </w:r>
      <w:r w:rsidR="008C2BF9" w:rsidRPr="00324BC1">
        <w:rPr>
          <w:rFonts w:cstheme="minorHAnsi"/>
        </w:rPr>
        <w:t xml:space="preserve"> </w:t>
      </w:r>
      <w:r w:rsidRPr="00324BC1">
        <w:rPr>
          <w:rFonts w:cstheme="minorHAnsi"/>
        </w:rPr>
        <w:t xml:space="preserve">the data </w:t>
      </w:r>
      <w:r w:rsidR="0030756B">
        <w:rPr>
          <w:rFonts w:cstheme="minorHAnsi"/>
        </w:rPr>
        <w:t>for</w:t>
      </w:r>
      <w:r w:rsidRPr="00324BC1">
        <w:rPr>
          <w:rFonts w:cstheme="minorHAnsi"/>
        </w:rPr>
        <w:t xml:space="preserve"> that site to establish whether the application can be</w:t>
      </w:r>
      <w:r w:rsidR="00324BC1" w:rsidRPr="00324BC1">
        <w:rPr>
          <w:rFonts w:cstheme="minorHAnsi"/>
        </w:rPr>
        <w:t xml:space="preserve"> </w:t>
      </w:r>
      <w:r w:rsidR="0030756B">
        <w:rPr>
          <w:rFonts w:cstheme="minorHAnsi"/>
        </w:rPr>
        <w:t>approved</w:t>
      </w:r>
      <w:r w:rsidRPr="00324BC1">
        <w:rPr>
          <w:rFonts w:cstheme="minorHAnsi"/>
        </w:rPr>
        <w:t xml:space="preserve">. Applications will need to be supported at both the Governor and PGD level, and establishments will also need support from local </w:t>
      </w:r>
      <w:r w:rsidR="007F2BAE">
        <w:rPr>
          <w:rFonts w:cstheme="minorHAnsi"/>
        </w:rPr>
        <w:t>health and public health colleagues</w:t>
      </w:r>
      <w:r w:rsidRPr="00324BC1">
        <w:rPr>
          <w:rFonts w:cstheme="minorHAnsi"/>
        </w:rPr>
        <w:t xml:space="preserve"> and </w:t>
      </w:r>
      <w:r w:rsidR="00A12F04">
        <w:rPr>
          <w:rFonts w:cstheme="minorHAnsi"/>
        </w:rPr>
        <w:t xml:space="preserve">must consult with </w:t>
      </w:r>
      <w:r w:rsidR="0030756B">
        <w:rPr>
          <w:rFonts w:cstheme="minorHAnsi"/>
        </w:rPr>
        <w:t xml:space="preserve">local </w:t>
      </w:r>
      <w:r w:rsidRPr="00324BC1">
        <w:rPr>
          <w:rFonts w:cstheme="minorHAnsi"/>
        </w:rPr>
        <w:t>Trade Unions</w:t>
      </w:r>
      <w:r w:rsidR="007637C3">
        <w:rPr>
          <w:rFonts w:cstheme="minorHAnsi"/>
        </w:rPr>
        <w:t>.</w:t>
      </w:r>
      <w:r w:rsidR="00D23C18">
        <w:rPr>
          <w:rFonts w:cstheme="minorHAnsi"/>
        </w:rPr>
        <w:t xml:space="preserve"> </w:t>
      </w:r>
      <w:r w:rsidR="00A12F04">
        <w:rPr>
          <w:rFonts w:cstheme="minorHAnsi"/>
        </w:rPr>
        <w:t xml:space="preserve">Where there are no </w:t>
      </w:r>
      <w:r w:rsidR="00433DFE">
        <w:rPr>
          <w:rFonts w:cstheme="minorHAnsi"/>
        </w:rPr>
        <w:t>on-site</w:t>
      </w:r>
      <w:r w:rsidR="00A12F04">
        <w:rPr>
          <w:rFonts w:cstheme="minorHAnsi"/>
        </w:rPr>
        <w:t xml:space="preserve"> local representatives on site, regional </w:t>
      </w:r>
      <w:r w:rsidR="00CD4862">
        <w:rPr>
          <w:rFonts w:cstheme="minorHAnsi"/>
        </w:rPr>
        <w:t>representatives</w:t>
      </w:r>
      <w:r w:rsidR="00A12F04">
        <w:rPr>
          <w:rFonts w:cstheme="minorHAnsi"/>
        </w:rPr>
        <w:t xml:space="preserve"> must be </w:t>
      </w:r>
      <w:r w:rsidR="00A12F04">
        <w:rPr>
          <w:rFonts w:cstheme="minorHAnsi"/>
        </w:rPr>
        <w:lastRenderedPageBreak/>
        <w:t>consulted</w:t>
      </w:r>
      <w:r>
        <w:rPr>
          <w:rFonts w:cstheme="minorHAnsi"/>
        </w:rPr>
        <w:t xml:space="preserve"> </w:t>
      </w:r>
      <w:r w:rsidR="00A12F04">
        <w:rPr>
          <w:rFonts w:cstheme="minorHAnsi"/>
        </w:rPr>
        <w:t>(an updated list is attached</w:t>
      </w:r>
      <w:r w:rsidR="007637C3">
        <w:rPr>
          <w:rFonts w:cstheme="minorHAnsi"/>
        </w:rPr>
        <w:t xml:space="preserve"> in Annex D</w:t>
      </w:r>
      <w:r w:rsidR="00A12F04">
        <w:rPr>
          <w:rFonts w:cstheme="minorHAnsi"/>
        </w:rPr>
        <w:t>).</w:t>
      </w:r>
      <w:r w:rsidR="007D0291">
        <w:rPr>
          <w:rFonts w:cstheme="minorHAnsi"/>
        </w:rPr>
        <w:t xml:space="preserve"> Establishments applying on exceptional circumstances will not be able to progress until 08 March at the earliest. </w:t>
      </w:r>
    </w:p>
    <w:p w14:paraId="2D23E6A5" w14:textId="77777777" w:rsidR="00D7625A" w:rsidRDefault="00D7625A" w:rsidP="004F7C8B">
      <w:pPr>
        <w:spacing w:line="240" w:lineRule="auto"/>
        <w:jc w:val="both"/>
        <w:rPr>
          <w:rFonts w:cstheme="minorHAnsi"/>
        </w:rPr>
      </w:pPr>
      <w:r>
        <w:rPr>
          <w:rFonts w:cstheme="minorHAnsi"/>
        </w:rPr>
        <w:t xml:space="preserve">Whilst we will utilise forecast data to minimise this scenario as much as possible, it may be possible that </w:t>
      </w:r>
      <w:r w:rsidR="007F2BAE">
        <w:rPr>
          <w:rFonts w:cstheme="minorHAnsi"/>
        </w:rPr>
        <w:t>the</w:t>
      </w:r>
      <w:r>
        <w:rPr>
          <w:rFonts w:cstheme="minorHAnsi"/>
        </w:rPr>
        <w:t xml:space="preserve"> risk picture at a site may worsen following addition to the progression list. We will continue to monitor the risk level at sites on the </w:t>
      </w:r>
      <w:r w:rsidR="007F2BAE">
        <w:rPr>
          <w:rFonts w:cstheme="minorHAnsi"/>
        </w:rPr>
        <w:t>list and</w:t>
      </w:r>
      <w:r>
        <w:rPr>
          <w:rFonts w:cstheme="minorHAnsi"/>
        </w:rPr>
        <w:t xml:space="preserve"> may need to remove sites where the data makes this decision necessary. This will be clearly communicated to the site. </w:t>
      </w:r>
    </w:p>
    <w:p w14:paraId="555403F5" w14:textId="2398CE37" w:rsidR="0038339F" w:rsidRDefault="00F3575F" w:rsidP="00061555">
      <w:pPr>
        <w:spacing w:line="240" w:lineRule="auto"/>
        <w:jc w:val="both"/>
        <w:rPr>
          <w:rFonts w:eastAsia="Times New Roman" w:cstheme="minorHAnsi"/>
        </w:rPr>
      </w:pPr>
      <w:r w:rsidRPr="004F7C8B">
        <w:rPr>
          <w:rFonts w:cstheme="minorHAnsi"/>
        </w:rPr>
        <w:t>Following progression to Stage 3, it is possible that the risk level at a site may change,</w:t>
      </w:r>
      <w:r w:rsidR="004F7C8B" w:rsidRPr="004F7C8B">
        <w:rPr>
          <w:rFonts w:cstheme="minorHAnsi"/>
        </w:rPr>
        <w:t xml:space="preserve"> or that a staffing shortage or outbreak may be declared. Existing mechanisms for regime regression will continue to be operated where required</w:t>
      </w:r>
      <w:r w:rsidR="007F2BAE">
        <w:rPr>
          <w:rFonts w:cstheme="minorHAnsi"/>
        </w:rPr>
        <w:t xml:space="preserve"> and will be fully controlled by the Governor with PGD oversight and Gold approval</w:t>
      </w:r>
      <w:r w:rsidR="004F7C8B" w:rsidRPr="004F7C8B">
        <w:rPr>
          <w:rFonts w:cstheme="minorHAnsi"/>
        </w:rPr>
        <w:t xml:space="preserve">. </w:t>
      </w:r>
      <w:r w:rsidR="007F2BAE">
        <w:rPr>
          <w:rFonts w:cstheme="minorHAnsi"/>
        </w:rPr>
        <w:t xml:space="preserve"> </w:t>
      </w:r>
      <w:r w:rsidR="004F7C8B" w:rsidRPr="004F7C8B">
        <w:rPr>
          <w:rFonts w:cstheme="minorHAnsi"/>
        </w:rPr>
        <w:t xml:space="preserve">HMPPS will also continue to </w:t>
      </w:r>
      <w:r w:rsidRPr="004F7C8B">
        <w:rPr>
          <w:rFonts w:eastAsia="Times New Roman" w:cstheme="minorHAnsi"/>
        </w:rPr>
        <w:t>operate system wide surveillance of all reported communicable diseases in establishments</w:t>
      </w:r>
      <w:r w:rsidR="004F7C8B" w:rsidRPr="004F7C8B">
        <w:rPr>
          <w:rFonts w:eastAsia="Times New Roman" w:cstheme="minorHAnsi"/>
        </w:rPr>
        <w:t xml:space="preserve">. This </w:t>
      </w:r>
      <w:r w:rsidRPr="004F7C8B">
        <w:rPr>
          <w:rFonts w:eastAsia="Times New Roman" w:cstheme="minorHAnsi"/>
        </w:rPr>
        <w:t xml:space="preserve">may </w:t>
      </w:r>
      <w:r w:rsidR="00C167A7">
        <w:rPr>
          <w:rFonts w:eastAsia="Times New Roman" w:cstheme="minorHAnsi"/>
        </w:rPr>
        <w:t xml:space="preserve">lead </w:t>
      </w:r>
      <w:r w:rsidRPr="004F7C8B">
        <w:rPr>
          <w:rFonts w:eastAsia="Times New Roman" w:cstheme="minorHAnsi"/>
        </w:rPr>
        <w:t xml:space="preserve">again </w:t>
      </w:r>
      <w:r w:rsidR="007F40C9">
        <w:rPr>
          <w:rFonts w:eastAsia="Times New Roman" w:cstheme="minorHAnsi"/>
        </w:rPr>
        <w:t>to further</w:t>
      </w:r>
      <w:r w:rsidRPr="004F7C8B">
        <w:rPr>
          <w:rFonts w:eastAsia="Times New Roman" w:cstheme="minorHAnsi"/>
        </w:rPr>
        <w:t xml:space="preserve"> national intervention if the risk picture nationally requires an estate-wide approach.</w:t>
      </w:r>
      <w:r w:rsidR="008D1BDB">
        <w:rPr>
          <w:rFonts w:eastAsia="Times New Roman" w:cstheme="minorHAnsi"/>
        </w:rPr>
        <w:t xml:space="preserve"> Communications with both staff and </w:t>
      </w:r>
      <w:r w:rsidR="00F05B62">
        <w:rPr>
          <w:rFonts w:eastAsia="Times New Roman" w:cstheme="minorHAnsi"/>
        </w:rPr>
        <w:t xml:space="preserve">those in custody </w:t>
      </w:r>
      <w:r w:rsidR="008D1BDB">
        <w:rPr>
          <w:rFonts w:eastAsia="Times New Roman" w:cstheme="minorHAnsi"/>
        </w:rPr>
        <w:t xml:space="preserve">should be open about this </w:t>
      </w:r>
      <w:r w:rsidR="00F05B62">
        <w:rPr>
          <w:rFonts w:eastAsia="Times New Roman" w:cstheme="minorHAnsi"/>
        </w:rPr>
        <w:t>possibility</w:t>
      </w:r>
      <w:r w:rsidR="008D1BDB">
        <w:rPr>
          <w:rFonts w:eastAsia="Times New Roman" w:cstheme="minorHAnsi"/>
        </w:rPr>
        <w:t xml:space="preserve"> and continue to </w:t>
      </w:r>
      <w:r w:rsidR="00F66BDE">
        <w:rPr>
          <w:rFonts w:eastAsia="Times New Roman" w:cstheme="minorHAnsi"/>
        </w:rPr>
        <w:t>structure expectations w</w:t>
      </w:r>
      <w:r w:rsidR="00F05B62">
        <w:rPr>
          <w:rFonts w:eastAsia="Times New Roman" w:cstheme="minorHAnsi"/>
        </w:rPr>
        <w:t>i</w:t>
      </w:r>
      <w:r w:rsidR="00F66BDE">
        <w:rPr>
          <w:rFonts w:eastAsia="Times New Roman" w:cstheme="minorHAnsi"/>
        </w:rPr>
        <w:t>th reference to infection level</w:t>
      </w:r>
      <w:r w:rsidR="007F2BAE">
        <w:rPr>
          <w:rFonts w:eastAsia="Times New Roman" w:cstheme="minorHAnsi"/>
        </w:rPr>
        <w:t>s</w:t>
      </w:r>
      <w:r w:rsidR="00F66BDE">
        <w:rPr>
          <w:rFonts w:eastAsia="Times New Roman" w:cstheme="minorHAnsi"/>
        </w:rPr>
        <w:t>.</w:t>
      </w:r>
    </w:p>
    <w:p w14:paraId="382BD8EA" w14:textId="77777777" w:rsidR="009C0E6D" w:rsidRPr="00D02B10" w:rsidRDefault="009C0E6D" w:rsidP="00061555">
      <w:pPr>
        <w:spacing w:line="240" w:lineRule="auto"/>
        <w:jc w:val="both"/>
        <w:rPr>
          <w:rFonts w:cstheme="minorHAnsi"/>
        </w:rPr>
      </w:pPr>
    </w:p>
    <w:p w14:paraId="1328BACE" w14:textId="77777777" w:rsidR="00DE792B" w:rsidRPr="00D02B10" w:rsidRDefault="00122D6D" w:rsidP="00061555">
      <w:pPr>
        <w:pStyle w:val="ListParagraph"/>
        <w:numPr>
          <w:ilvl w:val="0"/>
          <w:numId w:val="7"/>
        </w:numPr>
        <w:jc w:val="both"/>
        <w:rPr>
          <w:rFonts w:asciiTheme="minorHAnsi" w:hAnsiTheme="minorHAnsi" w:cstheme="minorHAnsi"/>
          <w:b/>
        </w:rPr>
      </w:pPr>
      <w:r w:rsidRPr="00D02B10">
        <w:rPr>
          <w:rFonts w:asciiTheme="minorHAnsi" w:hAnsiTheme="minorHAnsi" w:cstheme="minorHAnsi"/>
          <w:b/>
        </w:rPr>
        <w:t xml:space="preserve">Regime delivery </w:t>
      </w:r>
      <w:r w:rsidR="000417AE" w:rsidRPr="00D02B10">
        <w:rPr>
          <w:rFonts w:asciiTheme="minorHAnsi" w:hAnsiTheme="minorHAnsi" w:cstheme="minorHAnsi"/>
          <w:b/>
        </w:rPr>
        <w:t>at Stage 3</w:t>
      </w:r>
    </w:p>
    <w:p w14:paraId="1C931A6C" w14:textId="77777777" w:rsidR="00122D6D" w:rsidRPr="00D02B10" w:rsidRDefault="000417AE" w:rsidP="00061555">
      <w:pPr>
        <w:pStyle w:val="ListParagraph"/>
        <w:ind w:left="360"/>
        <w:jc w:val="both"/>
        <w:rPr>
          <w:rFonts w:asciiTheme="minorHAnsi" w:hAnsiTheme="minorHAnsi" w:cstheme="minorHAnsi"/>
          <w:b/>
        </w:rPr>
      </w:pPr>
      <w:r w:rsidRPr="00D02B10">
        <w:rPr>
          <w:rFonts w:asciiTheme="minorHAnsi" w:hAnsiTheme="minorHAnsi" w:cstheme="minorHAnsi"/>
          <w:b/>
        </w:rPr>
        <w:t xml:space="preserve"> </w:t>
      </w:r>
    </w:p>
    <w:p w14:paraId="526973CE" w14:textId="67DFC76A" w:rsidR="00804F24" w:rsidRPr="00D02B10" w:rsidRDefault="00804F24" w:rsidP="00061555">
      <w:pPr>
        <w:spacing w:line="240" w:lineRule="auto"/>
        <w:jc w:val="both"/>
        <w:rPr>
          <w:rFonts w:cstheme="minorHAnsi"/>
        </w:rPr>
      </w:pPr>
      <w:r w:rsidRPr="00D02B10">
        <w:rPr>
          <w:rFonts w:cstheme="minorHAnsi"/>
        </w:rPr>
        <w:t xml:space="preserve">As stated, </w:t>
      </w:r>
      <w:r w:rsidR="008C13B4" w:rsidRPr="00D02B10">
        <w:rPr>
          <w:rFonts w:cstheme="minorHAnsi"/>
        </w:rPr>
        <w:t xml:space="preserve">once an establishment has been given approval from the Gold Regime panel to progress to </w:t>
      </w:r>
      <w:r w:rsidR="00F05B62">
        <w:rPr>
          <w:rFonts w:cstheme="minorHAnsi"/>
        </w:rPr>
        <w:t>S</w:t>
      </w:r>
      <w:r w:rsidR="008C13B4" w:rsidRPr="00D02B10">
        <w:rPr>
          <w:rFonts w:cstheme="minorHAnsi"/>
        </w:rPr>
        <w:t>tage 3</w:t>
      </w:r>
      <w:r w:rsidR="00B934AF" w:rsidRPr="00D02B10">
        <w:rPr>
          <w:rFonts w:cstheme="minorHAnsi"/>
        </w:rPr>
        <w:t xml:space="preserve">, </w:t>
      </w:r>
      <w:r w:rsidR="000C6F07" w:rsidRPr="00D02B10">
        <w:rPr>
          <w:rFonts w:cstheme="minorHAnsi"/>
        </w:rPr>
        <w:t>the default position is that sites will revert to their Local Operating Procedures for Stage 3 EDM delivery of regime</w:t>
      </w:r>
      <w:r w:rsidR="007A245E">
        <w:rPr>
          <w:rFonts w:cstheme="minorHAnsi"/>
        </w:rPr>
        <w:t xml:space="preserve"> following a review of the Recovery RMP</w:t>
      </w:r>
      <w:r w:rsidR="000C6F07" w:rsidRPr="00D02B10">
        <w:rPr>
          <w:rFonts w:cstheme="minorHAnsi"/>
        </w:rPr>
        <w:t>.</w:t>
      </w:r>
      <w:r w:rsidR="0038339F">
        <w:rPr>
          <w:rFonts w:cstheme="minorHAnsi"/>
        </w:rPr>
        <w:t xml:space="preserve"> Establishments will not be required to ‘switch on’ all Local Operating Procedures </w:t>
      </w:r>
      <w:r w:rsidR="007F2BAE">
        <w:rPr>
          <w:rFonts w:cstheme="minorHAnsi"/>
        </w:rPr>
        <w:t>simultaneously and</w:t>
      </w:r>
      <w:r w:rsidR="0038339F">
        <w:rPr>
          <w:rFonts w:cstheme="minorHAnsi"/>
        </w:rPr>
        <w:t xml:space="preserve"> can </w:t>
      </w:r>
      <w:r w:rsidR="007F2BAE">
        <w:rPr>
          <w:rFonts w:cstheme="minorHAnsi"/>
        </w:rPr>
        <w:t>manage the</w:t>
      </w:r>
      <w:r w:rsidR="0038339F">
        <w:rPr>
          <w:rFonts w:cstheme="minorHAnsi"/>
        </w:rPr>
        <w:t xml:space="preserve"> re-introduction of regime elements locally</w:t>
      </w:r>
      <w:r w:rsidR="00D85301">
        <w:rPr>
          <w:rFonts w:cstheme="minorHAnsi"/>
        </w:rPr>
        <w:t xml:space="preserve">. </w:t>
      </w:r>
      <w:r w:rsidR="00A0043F" w:rsidRPr="00D02B10">
        <w:rPr>
          <w:rFonts w:cstheme="minorHAnsi"/>
        </w:rPr>
        <w:t xml:space="preserve">Given the continuing restrictions in the community however, and the need to ensure that the easing of restrictions is cautious, there will be some </w:t>
      </w:r>
      <w:r w:rsidR="00BE2D5E">
        <w:rPr>
          <w:rFonts w:cstheme="minorHAnsi"/>
        </w:rPr>
        <w:t xml:space="preserve">additional </w:t>
      </w:r>
      <w:r w:rsidR="006B6E9E" w:rsidRPr="00D02B10">
        <w:rPr>
          <w:rFonts w:cstheme="minorHAnsi"/>
        </w:rPr>
        <w:t>short-term</w:t>
      </w:r>
      <w:r w:rsidR="001D4407" w:rsidRPr="00D02B10">
        <w:rPr>
          <w:rFonts w:cstheme="minorHAnsi"/>
        </w:rPr>
        <w:t xml:space="preserve"> restrictions to individual </w:t>
      </w:r>
      <w:r w:rsidR="00F05B62">
        <w:rPr>
          <w:rFonts w:cstheme="minorHAnsi"/>
        </w:rPr>
        <w:t>S</w:t>
      </w:r>
      <w:r w:rsidR="001D4407" w:rsidRPr="00D02B10">
        <w:rPr>
          <w:rFonts w:cstheme="minorHAnsi"/>
        </w:rPr>
        <w:t xml:space="preserve">tage 3 elements. </w:t>
      </w:r>
      <w:r w:rsidR="00B24AD9" w:rsidRPr="00D02B10">
        <w:rPr>
          <w:rFonts w:cstheme="minorHAnsi"/>
        </w:rPr>
        <w:t>These restrictions are listed below</w:t>
      </w:r>
      <w:r w:rsidR="00377634">
        <w:rPr>
          <w:rFonts w:cstheme="minorHAnsi"/>
        </w:rPr>
        <w:t xml:space="preserve">; </w:t>
      </w:r>
      <w:r w:rsidR="007F2BAE">
        <w:rPr>
          <w:rFonts w:cstheme="minorHAnsi"/>
        </w:rPr>
        <w:t xml:space="preserve">any areas not covered are subject to </w:t>
      </w:r>
      <w:r w:rsidR="006B6E9E" w:rsidRPr="00D02B10">
        <w:rPr>
          <w:rFonts w:cstheme="minorHAnsi"/>
        </w:rPr>
        <w:t>existing Local Operating Procedure.</w:t>
      </w:r>
    </w:p>
    <w:p w14:paraId="328C861F" w14:textId="07234908" w:rsidR="00384890" w:rsidRDefault="00384890" w:rsidP="00061555">
      <w:pPr>
        <w:spacing w:line="240" w:lineRule="auto"/>
        <w:jc w:val="both"/>
        <w:rPr>
          <w:rFonts w:cstheme="minorHAnsi"/>
        </w:rPr>
      </w:pPr>
      <w:r w:rsidRPr="00D02B10">
        <w:rPr>
          <w:rFonts w:cstheme="minorHAnsi"/>
        </w:rPr>
        <w:t xml:space="preserve">Establishments are also reminded that certain EDMs were </w:t>
      </w:r>
      <w:r w:rsidR="002E130A">
        <w:rPr>
          <w:rFonts w:cstheme="minorHAnsi"/>
        </w:rPr>
        <w:t>revised as part of the Winter Regime Review (</w:t>
      </w:r>
      <w:r w:rsidR="007F2BAE">
        <w:rPr>
          <w:rFonts w:cstheme="minorHAnsi"/>
        </w:rPr>
        <w:t>outcomes</w:t>
      </w:r>
      <w:r w:rsidR="002E130A">
        <w:rPr>
          <w:rFonts w:cstheme="minorHAnsi"/>
        </w:rPr>
        <w:t xml:space="preserve"> published in Gold Brief of </w:t>
      </w:r>
      <w:r w:rsidR="00DB5504">
        <w:rPr>
          <w:rFonts w:cstheme="minorHAnsi"/>
        </w:rPr>
        <w:t xml:space="preserve">27/12/20). Where establishments have not yet revised relevant EDMs in line with the review, </w:t>
      </w:r>
      <w:r w:rsidR="002C0FF7">
        <w:rPr>
          <w:rFonts w:cstheme="minorHAnsi"/>
        </w:rPr>
        <w:t>they should do this via their PGD</w:t>
      </w:r>
      <w:r w:rsidR="004B00A7">
        <w:rPr>
          <w:rFonts w:cstheme="minorHAnsi"/>
        </w:rPr>
        <w:t xml:space="preserve"> and in </w:t>
      </w:r>
      <w:r w:rsidR="00977A74">
        <w:rPr>
          <w:rFonts w:cstheme="minorHAnsi"/>
        </w:rPr>
        <w:t>consultation</w:t>
      </w:r>
      <w:r w:rsidR="004B00A7">
        <w:rPr>
          <w:rFonts w:cstheme="minorHAnsi"/>
        </w:rPr>
        <w:t xml:space="preserve"> with Local Trade Unions</w:t>
      </w:r>
      <w:r w:rsidR="002C0FF7">
        <w:rPr>
          <w:rFonts w:cstheme="minorHAnsi"/>
        </w:rPr>
        <w:t xml:space="preserve">. A table </w:t>
      </w:r>
      <w:r w:rsidR="00BE2D5E">
        <w:rPr>
          <w:rFonts w:cstheme="minorHAnsi"/>
        </w:rPr>
        <w:t>setting out</w:t>
      </w:r>
      <w:r w:rsidR="002C0FF7">
        <w:rPr>
          <w:rFonts w:cstheme="minorHAnsi"/>
        </w:rPr>
        <w:t xml:space="preserve"> the </w:t>
      </w:r>
      <w:r w:rsidR="00BE2D5E">
        <w:rPr>
          <w:rFonts w:cstheme="minorHAnsi"/>
        </w:rPr>
        <w:t xml:space="preserve">amendments made to EDMs following that review </w:t>
      </w:r>
      <w:r w:rsidR="002C0FF7">
        <w:rPr>
          <w:rFonts w:cstheme="minorHAnsi"/>
        </w:rPr>
        <w:t xml:space="preserve">is </w:t>
      </w:r>
      <w:r w:rsidR="004646FB">
        <w:rPr>
          <w:rFonts w:cstheme="minorHAnsi"/>
        </w:rPr>
        <w:t>at</w:t>
      </w:r>
      <w:r w:rsidR="002C0FF7">
        <w:rPr>
          <w:rFonts w:cstheme="minorHAnsi"/>
        </w:rPr>
        <w:t xml:space="preserve"> </w:t>
      </w:r>
      <w:r w:rsidR="002C0FF7" w:rsidRPr="00FE6911">
        <w:rPr>
          <w:rFonts w:cstheme="minorHAnsi"/>
        </w:rPr>
        <w:t>Annex C</w:t>
      </w:r>
      <w:r w:rsidR="002C0FF7">
        <w:rPr>
          <w:rFonts w:cstheme="minorHAnsi"/>
        </w:rPr>
        <w:t xml:space="preserve">. </w:t>
      </w:r>
    </w:p>
    <w:p w14:paraId="54021666" w14:textId="77777777" w:rsidR="00FE6911" w:rsidRDefault="00FE6911" w:rsidP="00FE6911">
      <w:pPr>
        <w:spacing w:after="0" w:line="240" w:lineRule="auto"/>
        <w:jc w:val="both"/>
        <w:rPr>
          <w:rFonts w:cstheme="minorHAnsi"/>
          <w:u w:val="single"/>
        </w:rPr>
      </w:pPr>
    </w:p>
    <w:p w14:paraId="6F22174D" w14:textId="77777777" w:rsidR="00BE2D5E" w:rsidRDefault="00BE2D5E" w:rsidP="00FE6911">
      <w:pPr>
        <w:spacing w:after="0" w:line="240" w:lineRule="auto"/>
        <w:jc w:val="both"/>
        <w:rPr>
          <w:rFonts w:cstheme="minorHAnsi"/>
          <w:u w:val="single"/>
        </w:rPr>
      </w:pPr>
      <w:r w:rsidRPr="004F7C8B">
        <w:rPr>
          <w:rFonts w:cstheme="minorHAnsi"/>
          <w:u w:val="single"/>
        </w:rPr>
        <w:t>Additional short-term restri</w:t>
      </w:r>
      <w:r w:rsidR="004646FB">
        <w:rPr>
          <w:rFonts w:cstheme="minorHAnsi"/>
          <w:u w:val="single"/>
        </w:rPr>
        <w:t>c</w:t>
      </w:r>
      <w:r w:rsidRPr="004F7C8B">
        <w:rPr>
          <w:rFonts w:cstheme="minorHAnsi"/>
          <w:u w:val="single"/>
        </w:rPr>
        <w:t>tions:</w:t>
      </w:r>
    </w:p>
    <w:p w14:paraId="09E4D36C" w14:textId="77777777" w:rsidR="00FE6911" w:rsidRPr="004F7C8B" w:rsidRDefault="00FE6911" w:rsidP="00FE6911">
      <w:pPr>
        <w:spacing w:after="0" w:line="240" w:lineRule="auto"/>
        <w:jc w:val="both"/>
        <w:rPr>
          <w:rFonts w:cstheme="minorHAnsi"/>
          <w:u w:val="single"/>
        </w:rPr>
      </w:pPr>
    </w:p>
    <w:p w14:paraId="2A8F7FD2" w14:textId="77777777" w:rsidR="00FE6911" w:rsidRPr="00FE6911" w:rsidRDefault="00310DFA" w:rsidP="00FE6911">
      <w:pPr>
        <w:pStyle w:val="ListParagraph"/>
        <w:numPr>
          <w:ilvl w:val="0"/>
          <w:numId w:val="8"/>
        </w:numPr>
        <w:jc w:val="both"/>
        <w:rPr>
          <w:rFonts w:eastAsia="Times New Roman"/>
        </w:rPr>
      </w:pPr>
      <w:r w:rsidRPr="005B1E80">
        <w:rPr>
          <w:rFonts w:eastAsia="Times New Roman" w:cstheme="minorHAnsi"/>
          <w:b/>
        </w:rPr>
        <w:t xml:space="preserve">Visits: </w:t>
      </w:r>
      <w:r w:rsidR="0051627E" w:rsidRPr="005B1E80">
        <w:rPr>
          <w:rFonts w:eastAsia="Times New Roman" w:cstheme="minorHAnsi"/>
        </w:rPr>
        <w:t xml:space="preserve">Face to face </w:t>
      </w:r>
      <w:r w:rsidR="0051627E" w:rsidRPr="005B1E80">
        <w:rPr>
          <w:rFonts w:eastAsia="Times New Roman" w:cstheme="minorHAnsi"/>
          <w:b/>
        </w:rPr>
        <w:t>s</w:t>
      </w:r>
      <w:r w:rsidRPr="005B1E80">
        <w:rPr>
          <w:rFonts w:eastAsia="Times New Roman" w:cstheme="minorHAnsi"/>
          <w:b/>
        </w:rPr>
        <w:t>ocial visits</w:t>
      </w:r>
      <w:r w:rsidRPr="005B1E80">
        <w:rPr>
          <w:rFonts w:eastAsia="Times New Roman" w:cstheme="minorHAnsi"/>
        </w:rPr>
        <w:t xml:space="preserve"> will </w:t>
      </w:r>
      <w:r w:rsidR="00115A39" w:rsidRPr="005B1E80">
        <w:rPr>
          <w:rFonts w:eastAsia="Times New Roman" w:cstheme="minorHAnsi"/>
        </w:rPr>
        <w:t>initially</w:t>
      </w:r>
      <w:r w:rsidR="00312929" w:rsidRPr="005B1E80">
        <w:rPr>
          <w:rFonts w:eastAsia="Times New Roman" w:cstheme="minorHAnsi"/>
        </w:rPr>
        <w:t xml:space="preserve"> remain suspended at Stage 3 in adult </w:t>
      </w:r>
      <w:r w:rsidR="00880AB7" w:rsidRPr="005B1E80">
        <w:rPr>
          <w:rFonts w:eastAsia="Times New Roman" w:cstheme="minorHAnsi"/>
        </w:rPr>
        <w:t>establishments</w:t>
      </w:r>
      <w:r w:rsidR="00115A39" w:rsidRPr="005B1E80">
        <w:rPr>
          <w:rFonts w:eastAsia="Times New Roman" w:cstheme="minorHAnsi"/>
        </w:rPr>
        <w:t xml:space="preserve">, given the community </w:t>
      </w:r>
      <w:r w:rsidR="007F2BAE">
        <w:rPr>
          <w:rFonts w:eastAsia="Times New Roman" w:cstheme="minorHAnsi"/>
        </w:rPr>
        <w:t>restriction</w:t>
      </w:r>
      <w:r w:rsidR="00115A39" w:rsidRPr="005B1E80">
        <w:rPr>
          <w:rFonts w:eastAsia="Times New Roman" w:cstheme="minorHAnsi"/>
        </w:rPr>
        <w:t xml:space="preserve"> on travel. </w:t>
      </w:r>
      <w:r w:rsidR="008009B8" w:rsidRPr="005B1E80">
        <w:rPr>
          <w:rFonts w:cstheme="minorHAnsi"/>
        </w:rPr>
        <w:t xml:space="preserve">The only face-to-face visits that will operate are those facilitated under exceptional compassionate circumstances which a Governor can approve locally. </w:t>
      </w:r>
      <w:r w:rsidR="005B1E80" w:rsidRPr="005B1E80">
        <w:rPr>
          <w:rFonts w:cstheme="minorHAnsi"/>
        </w:rPr>
        <w:t xml:space="preserve">The position in </w:t>
      </w:r>
      <w:r w:rsidR="00AF1DCA">
        <w:rPr>
          <w:rFonts w:cstheme="minorHAnsi"/>
        </w:rPr>
        <w:t xml:space="preserve">the </w:t>
      </w:r>
      <w:r w:rsidR="005B1E80" w:rsidRPr="005B1E80">
        <w:rPr>
          <w:rFonts w:cstheme="minorHAnsi"/>
        </w:rPr>
        <w:t>YCS will continue as per</w:t>
      </w:r>
      <w:r w:rsidR="00E86EB5">
        <w:rPr>
          <w:rFonts w:cstheme="minorHAnsi"/>
        </w:rPr>
        <w:t xml:space="preserve"> the</w:t>
      </w:r>
      <w:r w:rsidR="005B1E80" w:rsidRPr="005B1E80">
        <w:rPr>
          <w:rFonts w:cstheme="minorHAnsi"/>
        </w:rPr>
        <w:t xml:space="preserve"> Gold Brief of 05/02</w:t>
      </w:r>
      <w:r w:rsidR="00777614">
        <w:rPr>
          <w:rFonts w:cstheme="minorHAnsi"/>
        </w:rPr>
        <w:t>/</w:t>
      </w:r>
      <w:r w:rsidR="005B1E80" w:rsidRPr="005B1E80">
        <w:rPr>
          <w:rFonts w:cstheme="minorHAnsi"/>
        </w:rPr>
        <w:t xml:space="preserve">21 and Addendum of 15/01/21 which states </w:t>
      </w:r>
      <w:r w:rsidR="005B1E80">
        <w:rPr>
          <w:rFonts w:eastAsia="Times New Roman"/>
        </w:rPr>
        <w:t>that</w:t>
      </w:r>
      <w:r w:rsidR="00BE2D5E">
        <w:rPr>
          <w:rFonts w:eastAsia="Times New Roman"/>
        </w:rPr>
        <w:t xml:space="preserve"> </w:t>
      </w:r>
      <w:r w:rsidR="005B1E80" w:rsidRPr="005B1E80">
        <w:rPr>
          <w:rFonts w:eastAsia="Times New Roman"/>
        </w:rPr>
        <w:t xml:space="preserve">face-to-face social visits are able to be facilitated in YCS establishments in cases of compassionate circumstances. Compassionate circumstances should be understood as circumstances where a remote visit would not be appropriate. Governors </w:t>
      </w:r>
      <w:r w:rsidR="007F2BAE" w:rsidRPr="005B1E80">
        <w:rPr>
          <w:rFonts w:eastAsia="Times New Roman"/>
        </w:rPr>
        <w:t>can</w:t>
      </w:r>
      <w:r w:rsidR="005B1E80" w:rsidRPr="005B1E80">
        <w:rPr>
          <w:rFonts w:eastAsia="Times New Roman"/>
        </w:rPr>
        <w:t xml:space="preserve"> make localised risk decisions on this basis. </w:t>
      </w:r>
      <w:r w:rsidR="008009B8" w:rsidRPr="005B1E80">
        <w:rPr>
          <w:rFonts w:cstheme="minorHAnsi"/>
        </w:rPr>
        <w:t xml:space="preserve">Video calls through Purple visits must be facilitated and prioritised. </w:t>
      </w:r>
    </w:p>
    <w:p w14:paraId="5E276DDC" w14:textId="77777777" w:rsidR="00FE6911" w:rsidRPr="00FE6911" w:rsidRDefault="00FE6911" w:rsidP="00FE6911">
      <w:pPr>
        <w:pStyle w:val="ListParagraph"/>
        <w:ind w:left="360"/>
        <w:jc w:val="both"/>
        <w:rPr>
          <w:rFonts w:eastAsia="Times New Roman"/>
        </w:rPr>
      </w:pPr>
    </w:p>
    <w:p w14:paraId="29AE7135" w14:textId="77777777" w:rsidR="00310DFA" w:rsidRPr="00FE6911" w:rsidRDefault="008009B8" w:rsidP="00FE6911">
      <w:pPr>
        <w:pStyle w:val="ListParagraph"/>
        <w:numPr>
          <w:ilvl w:val="0"/>
          <w:numId w:val="8"/>
        </w:numPr>
        <w:jc w:val="both"/>
        <w:rPr>
          <w:rFonts w:eastAsia="Times New Roman"/>
        </w:rPr>
      </w:pPr>
      <w:bookmarkStart w:id="0" w:name="_Hlk65142465"/>
      <w:r w:rsidRPr="00FE6911">
        <w:rPr>
          <w:rFonts w:cstheme="minorHAnsi"/>
        </w:rPr>
        <w:t xml:space="preserve">Face-to-face </w:t>
      </w:r>
      <w:r w:rsidRPr="00FE6911">
        <w:rPr>
          <w:rFonts w:cstheme="minorHAnsi"/>
          <w:b/>
        </w:rPr>
        <w:t>official visits</w:t>
      </w:r>
      <w:r w:rsidRPr="00FE6911">
        <w:rPr>
          <w:rFonts w:cstheme="minorHAnsi"/>
        </w:rPr>
        <w:t xml:space="preserve"> </w:t>
      </w:r>
      <w:r w:rsidR="00BE2D5E" w:rsidRPr="00FE6911">
        <w:rPr>
          <w:rFonts w:cstheme="minorHAnsi"/>
        </w:rPr>
        <w:t>continue to be available</w:t>
      </w:r>
      <w:r w:rsidRPr="00FE6911">
        <w:rPr>
          <w:rFonts w:cstheme="minorHAnsi"/>
        </w:rPr>
        <w:t xml:space="preserve">. </w:t>
      </w:r>
      <w:r w:rsidR="00BE2D5E" w:rsidRPr="00FE6911">
        <w:rPr>
          <w:rFonts w:cstheme="minorHAnsi"/>
        </w:rPr>
        <w:t>However, r</w:t>
      </w:r>
      <w:r w:rsidRPr="00FE6911">
        <w:rPr>
          <w:rFonts w:cstheme="minorHAnsi"/>
        </w:rPr>
        <w:t xml:space="preserve">emote access via telephone or digital </w:t>
      </w:r>
      <w:r w:rsidR="00BE2D5E" w:rsidRPr="00FE6911">
        <w:rPr>
          <w:rFonts w:cstheme="minorHAnsi"/>
        </w:rPr>
        <w:t xml:space="preserve">channels </w:t>
      </w:r>
      <w:r w:rsidRPr="00FE6911">
        <w:rPr>
          <w:rFonts w:cstheme="minorHAnsi"/>
        </w:rPr>
        <w:t>should be prioritised wherever possible but establishments must continue to offer the option of a face</w:t>
      </w:r>
      <w:r w:rsidR="001C1B1E">
        <w:rPr>
          <w:rFonts w:cstheme="minorHAnsi"/>
        </w:rPr>
        <w:t>-</w:t>
      </w:r>
      <w:r w:rsidRPr="00FE6911">
        <w:rPr>
          <w:rFonts w:cstheme="minorHAnsi"/>
        </w:rPr>
        <w:t>to</w:t>
      </w:r>
      <w:r w:rsidR="001C1B1E">
        <w:rPr>
          <w:rFonts w:cstheme="minorHAnsi"/>
        </w:rPr>
        <w:t>-</w:t>
      </w:r>
      <w:r w:rsidRPr="00FE6911">
        <w:rPr>
          <w:rFonts w:cstheme="minorHAnsi"/>
        </w:rPr>
        <w:t>face visit to those legal representatives who require or request it.</w:t>
      </w:r>
      <w:r w:rsidR="001C1B1E">
        <w:rPr>
          <w:rFonts w:cstheme="minorHAnsi"/>
        </w:rPr>
        <w:t xml:space="preserve"> Official Visitors, such as</w:t>
      </w:r>
      <w:r w:rsidRPr="00FE6911">
        <w:rPr>
          <w:rFonts w:cstheme="minorHAnsi"/>
        </w:rPr>
        <w:t xml:space="preserve"> </w:t>
      </w:r>
      <w:r w:rsidR="001C1B1E">
        <w:rPr>
          <w:rFonts w:cstheme="minorHAnsi"/>
        </w:rPr>
        <w:t>l</w:t>
      </w:r>
      <w:r w:rsidRPr="00FE6911">
        <w:rPr>
          <w:rFonts w:cstheme="minorHAnsi"/>
        </w:rPr>
        <w:t>egal representatives</w:t>
      </w:r>
      <w:r w:rsidR="001C1B1E">
        <w:rPr>
          <w:rFonts w:cstheme="minorHAnsi"/>
        </w:rPr>
        <w:t>,</w:t>
      </w:r>
      <w:r w:rsidRPr="00FE6911">
        <w:rPr>
          <w:rFonts w:cstheme="minorHAnsi"/>
        </w:rPr>
        <w:t xml:space="preserve"> and </w:t>
      </w:r>
      <w:r w:rsidR="003F1816">
        <w:rPr>
          <w:rFonts w:cstheme="minorHAnsi"/>
        </w:rPr>
        <w:t>the</w:t>
      </w:r>
      <w:r w:rsidR="001C1B1E">
        <w:rPr>
          <w:rFonts w:cstheme="minorHAnsi"/>
        </w:rPr>
        <w:t xml:space="preserve"> person they are visiting</w:t>
      </w:r>
      <w:r w:rsidR="003F1816" w:rsidRPr="00FE6911">
        <w:rPr>
          <w:rFonts w:cstheme="minorHAnsi"/>
        </w:rPr>
        <w:t xml:space="preserve"> </w:t>
      </w:r>
      <w:r w:rsidRPr="00FE6911">
        <w:rPr>
          <w:rFonts w:cstheme="minorHAnsi"/>
        </w:rPr>
        <w:t>must wear face coverings at all times during face</w:t>
      </w:r>
      <w:r w:rsidR="001C1B1E">
        <w:rPr>
          <w:rFonts w:cstheme="minorHAnsi"/>
        </w:rPr>
        <w:t>-</w:t>
      </w:r>
      <w:r w:rsidRPr="00FE6911">
        <w:rPr>
          <w:rFonts w:cstheme="minorHAnsi"/>
        </w:rPr>
        <w:t>to</w:t>
      </w:r>
      <w:r w:rsidR="001C1B1E">
        <w:rPr>
          <w:rFonts w:cstheme="minorHAnsi"/>
        </w:rPr>
        <w:t>-</w:t>
      </w:r>
      <w:r w:rsidRPr="00FE6911">
        <w:rPr>
          <w:rFonts w:cstheme="minorHAnsi"/>
        </w:rPr>
        <w:t xml:space="preserve">face visits </w:t>
      </w:r>
      <w:r w:rsidR="003F1816">
        <w:rPr>
          <w:rFonts w:cstheme="minorHAnsi"/>
        </w:rPr>
        <w:t xml:space="preserve">(unless exempt from government face covering requirements e.g. for health reasons, if so they must be allowed to undertake the visit without wearing a face covering) </w:t>
      </w:r>
      <w:r w:rsidRPr="00FE6911">
        <w:rPr>
          <w:rFonts w:cstheme="minorHAnsi"/>
        </w:rPr>
        <w:t xml:space="preserve">and social distancing must be </w:t>
      </w:r>
      <w:r w:rsidRPr="00324BC1">
        <w:rPr>
          <w:rFonts w:cstheme="minorHAnsi"/>
        </w:rPr>
        <w:t>maintained.</w:t>
      </w:r>
      <w:r w:rsidR="00264FDC" w:rsidRPr="00324BC1">
        <w:rPr>
          <w:rFonts w:cstheme="minorHAnsi"/>
        </w:rPr>
        <w:t xml:space="preserve"> </w:t>
      </w:r>
      <w:r w:rsidR="00324BC1" w:rsidRPr="00324BC1">
        <w:rPr>
          <w:rFonts w:cstheme="minorHAnsi"/>
        </w:rPr>
        <w:t xml:space="preserve">Establishments are reminded that the Purple </w:t>
      </w:r>
      <w:r w:rsidR="00D50B32">
        <w:rPr>
          <w:rFonts w:cstheme="minorHAnsi"/>
        </w:rPr>
        <w:lastRenderedPageBreak/>
        <w:t>V</w:t>
      </w:r>
      <w:r w:rsidR="00324BC1" w:rsidRPr="00324BC1">
        <w:rPr>
          <w:rFonts w:cstheme="minorHAnsi"/>
        </w:rPr>
        <w:t xml:space="preserve">isits solution must not be used for official visits. </w:t>
      </w:r>
      <w:r w:rsidR="00264FDC" w:rsidRPr="00324BC1">
        <w:rPr>
          <w:rFonts w:cstheme="minorHAnsi"/>
        </w:rPr>
        <w:t>Provision of official visits includes</w:t>
      </w:r>
      <w:r w:rsidR="00264FDC">
        <w:rPr>
          <w:rFonts w:cstheme="minorHAnsi"/>
        </w:rPr>
        <w:t xml:space="preserve"> probation visits to facilitate pre-sentence reports. These may need to be tech-enabled. </w:t>
      </w:r>
    </w:p>
    <w:bookmarkEnd w:id="0"/>
    <w:p w14:paraId="2439C164" w14:textId="77777777" w:rsidR="008009B8" w:rsidRPr="00D02B10" w:rsidRDefault="008009B8" w:rsidP="00FE6911">
      <w:pPr>
        <w:spacing w:after="0" w:line="240" w:lineRule="auto"/>
        <w:jc w:val="both"/>
        <w:rPr>
          <w:rFonts w:cstheme="minorHAnsi"/>
        </w:rPr>
      </w:pPr>
    </w:p>
    <w:p w14:paraId="0AF72801" w14:textId="4E5496BE" w:rsidR="00925EBC" w:rsidRPr="00F73C2C" w:rsidRDefault="008009B8" w:rsidP="00F73C2C">
      <w:pPr>
        <w:pStyle w:val="ListParagraph"/>
        <w:numPr>
          <w:ilvl w:val="0"/>
          <w:numId w:val="8"/>
        </w:numPr>
        <w:jc w:val="both"/>
        <w:rPr>
          <w:rFonts w:cstheme="minorHAnsi"/>
          <w:lang w:eastAsia="en-GB"/>
        </w:rPr>
      </w:pPr>
      <w:r w:rsidRPr="00061555">
        <w:rPr>
          <w:rFonts w:cstheme="minorHAnsi"/>
          <w:b/>
        </w:rPr>
        <w:t>Group Activities:</w:t>
      </w:r>
      <w:r w:rsidRPr="00061555">
        <w:rPr>
          <w:rFonts w:cstheme="minorHAnsi"/>
        </w:rPr>
        <w:t xml:space="preserve"> </w:t>
      </w:r>
      <w:r w:rsidR="005035D4" w:rsidRPr="00061555">
        <w:rPr>
          <w:rFonts w:cstheme="minorHAnsi"/>
        </w:rPr>
        <w:t>As per relevant Stage 3 EDMs,</w:t>
      </w:r>
      <w:r w:rsidR="005752D1">
        <w:rPr>
          <w:rFonts w:cstheme="minorHAnsi"/>
        </w:rPr>
        <w:t xml:space="preserve"> in adult establishments</w:t>
      </w:r>
      <w:r w:rsidR="005035D4" w:rsidRPr="00061555">
        <w:rPr>
          <w:rFonts w:cstheme="minorHAnsi"/>
        </w:rPr>
        <w:t xml:space="preserve"> group face-to-face acti</w:t>
      </w:r>
      <w:r w:rsidR="00BC6F43" w:rsidRPr="00061555">
        <w:rPr>
          <w:rFonts w:cstheme="minorHAnsi"/>
        </w:rPr>
        <w:t xml:space="preserve">vities </w:t>
      </w:r>
      <w:r w:rsidR="00BF4D77" w:rsidRPr="00061555">
        <w:rPr>
          <w:rFonts w:cstheme="minorHAnsi"/>
        </w:rPr>
        <w:t>(including education</w:t>
      </w:r>
      <w:r w:rsidR="009B535A">
        <w:rPr>
          <w:rFonts w:cstheme="minorHAnsi"/>
        </w:rPr>
        <w:t xml:space="preserve">, </w:t>
      </w:r>
      <w:r w:rsidR="00BF4D77" w:rsidRPr="00061555">
        <w:rPr>
          <w:rFonts w:cstheme="minorHAnsi"/>
        </w:rPr>
        <w:t>communal worship</w:t>
      </w:r>
      <w:r w:rsidR="0077695B">
        <w:rPr>
          <w:rFonts w:cstheme="minorHAnsi"/>
        </w:rPr>
        <w:t xml:space="preserve"> and small group activities delivered in the women’s estate</w:t>
      </w:r>
      <w:r w:rsidR="00BF4D77" w:rsidRPr="007C6316">
        <w:rPr>
          <w:rFonts w:cstheme="minorHAnsi"/>
        </w:rPr>
        <w:t xml:space="preserve">) can be reintroduced at Stage 3. </w:t>
      </w:r>
      <w:r w:rsidR="00991678" w:rsidRPr="007C6316">
        <w:rPr>
          <w:rFonts w:cstheme="minorHAnsi"/>
        </w:rPr>
        <w:t xml:space="preserve">There should be a continued focus on </w:t>
      </w:r>
      <w:r w:rsidR="00BD0B23">
        <w:rPr>
          <w:rFonts w:cstheme="minorHAnsi"/>
        </w:rPr>
        <w:t xml:space="preserve">preventing </w:t>
      </w:r>
      <w:r w:rsidR="00991678" w:rsidRPr="007C6316">
        <w:rPr>
          <w:rFonts w:cstheme="minorHAnsi"/>
        </w:rPr>
        <w:t>the mixing of those from different parts of the establishment, and existing risk assessments must be abided by</w:t>
      </w:r>
      <w:r w:rsidR="00BF42D5">
        <w:rPr>
          <w:rFonts w:cstheme="minorHAnsi"/>
        </w:rPr>
        <w:t xml:space="preserve"> and shared with affected unions</w:t>
      </w:r>
      <w:r w:rsidR="00991678" w:rsidRPr="007C6316">
        <w:rPr>
          <w:rFonts w:cstheme="minorHAnsi"/>
        </w:rPr>
        <w:t xml:space="preserve">. </w:t>
      </w:r>
      <w:r w:rsidR="004D4A41" w:rsidRPr="007C6316">
        <w:rPr>
          <w:rFonts w:cstheme="minorHAnsi"/>
        </w:rPr>
        <w:t>The Education EDM</w:t>
      </w:r>
      <w:r w:rsidR="00BF4D77" w:rsidRPr="007C6316">
        <w:rPr>
          <w:rFonts w:cstheme="minorHAnsi"/>
        </w:rPr>
        <w:t xml:space="preserve"> </w:t>
      </w:r>
      <w:r w:rsidR="008844AE" w:rsidRPr="007C6316">
        <w:rPr>
          <w:rFonts w:cstheme="minorHAnsi"/>
        </w:rPr>
        <w:t xml:space="preserve">was revised </w:t>
      </w:r>
      <w:r w:rsidR="00991678" w:rsidRPr="007C6316">
        <w:rPr>
          <w:rFonts w:cstheme="minorHAnsi"/>
        </w:rPr>
        <w:t xml:space="preserve">as part of the winter regime review </w:t>
      </w:r>
      <w:r w:rsidR="00991678" w:rsidRPr="007C6316">
        <w:rPr>
          <w:rFonts w:cstheme="minorHAnsi"/>
          <w:lang w:eastAsia="en-GB"/>
        </w:rPr>
        <w:t xml:space="preserve">to include provision for 1-1 interview and small group work </w:t>
      </w:r>
      <w:r w:rsidR="00324BC1" w:rsidRPr="007C6316">
        <w:rPr>
          <w:rFonts w:cstheme="minorHAnsi"/>
          <w:lang w:eastAsia="en-GB"/>
        </w:rPr>
        <w:t xml:space="preserve">on wings and </w:t>
      </w:r>
      <w:r w:rsidR="00991678" w:rsidRPr="007C6316">
        <w:rPr>
          <w:rFonts w:cstheme="minorHAnsi"/>
          <w:lang w:eastAsia="en-GB"/>
        </w:rPr>
        <w:t>to facilitate limited classroom-based activity</w:t>
      </w:r>
      <w:r w:rsidR="00DF41E0">
        <w:rPr>
          <w:rFonts w:cstheme="minorHAnsi"/>
          <w:lang w:eastAsia="en-GB"/>
        </w:rPr>
        <w:t xml:space="preserve">, </w:t>
      </w:r>
      <w:r w:rsidR="008C50A1">
        <w:rPr>
          <w:rFonts w:cstheme="minorHAnsi"/>
          <w:lang w:eastAsia="en-GB"/>
        </w:rPr>
        <w:t>considering</w:t>
      </w:r>
      <w:r w:rsidR="00DF41E0">
        <w:rPr>
          <w:rFonts w:cstheme="minorHAnsi"/>
          <w:lang w:eastAsia="en-GB"/>
        </w:rPr>
        <w:t xml:space="preserve"> the</w:t>
      </w:r>
      <w:r w:rsidR="0049071C">
        <w:rPr>
          <w:rFonts w:cstheme="minorHAnsi"/>
          <w:lang w:eastAsia="en-GB"/>
        </w:rPr>
        <w:t xml:space="preserve"> continued restriction on learning centres</w:t>
      </w:r>
      <w:r w:rsidR="00991678" w:rsidRPr="007C6316">
        <w:rPr>
          <w:rFonts w:cstheme="minorHAnsi"/>
          <w:lang w:eastAsia="en-GB"/>
        </w:rPr>
        <w:t xml:space="preserve">. </w:t>
      </w:r>
      <w:r w:rsidR="00991678" w:rsidRPr="007C6316">
        <w:rPr>
          <w:rFonts w:cstheme="minorHAnsi"/>
          <w:color w:val="000000"/>
        </w:rPr>
        <w:t xml:space="preserve">Small group working as an option needs to be risk assessed locally and should only be done with the same residents from the same cohort and the same staff (i.e. they must be from the same unit/wing and not from different areas of the </w:t>
      </w:r>
      <w:r w:rsidR="00991678" w:rsidRPr="007C6316">
        <w:rPr>
          <w:rFonts w:cstheme="minorHAnsi"/>
        </w:rPr>
        <w:t>establishment</w:t>
      </w:r>
      <w:r w:rsidR="00991678" w:rsidRPr="007C6316">
        <w:rPr>
          <w:rFonts w:cstheme="minorHAnsi"/>
          <w:color w:val="000000"/>
        </w:rPr>
        <w:t xml:space="preserve">). </w:t>
      </w:r>
      <w:r w:rsidR="00925EBC">
        <w:t>Re-</w:t>
      </w:r>
      <w:r w:rsidR="00E7707C">
        <w:t>opening</w:t>
      </w:r>
      <w:r w:rsidR="00925EBC">
        <w:t xml:space="preserve"> of prison hairdressers/barber-shops and nail salons will </w:t>
      </w:r>
      <w:r w:rsidR="00A22A58">
        <w:t>be under</w:t>
      </w:r>
      <w:r w:rsidR="00F73C2C">
        <w:t xml:space="preserve"> the existing provision of the stage 3 model, once the equivalent access is granted in the community after April 12</w:t>
      </w:r>
      <w:r w:rsidR="00F73C2C" w:rsidRPr="00F73C2C">
        <w:rPr>
          <w:vertAlign w:val="superscript"/>
        </w:rPr>
        <w:t>th</w:t>
      </w:r>
      <w:r w:rsidR="00F73C2C">
        <w:t>.</w:t>
      </w:r>
    </w:p>
    <w:p w14:paraId="01588B2D" w14:textId="77777777" w:rsidR="00F73C2C" w:rsidRPr="00F73C2C" w:rsidRDefault="00F73C2C" w:rsidP="00F73C2C">
      <w:pPr>
        <w:pStyle w:val="ListParagraph"/>
        <w:rPr>
          <w:rFonts w:cstheme="minorHAnsi"/>
          <w:lang w:eastAsia="en-GB"/>
        </w:rPr>
      </w:pPr>
    </w:p>
    <w:p w14:paraId="11764598" w14:textId="29A2D4EC" w:rsidR="00F73C2C" w:rsidRPr="00F73C2C" w:rsidRDefault="00F73C2C" w:rsidP="00F73C2C">
      <w:pPr>
        <w:ind w:left="360"/>
        <w:jc w:val="both"/>
        <w:rPr>
          <w:rFonts w:cstheme="minorHAnsi"/>
          <w:lang w:eastAsia="en-GB"/>
        </w:rPr>
      </w:pPr>
      <w:r w:rsidRPr="007C6316">
        <w:rPr>
          <w:rFonts w:cstheme="minorHAnsi"/>
          <w:lang w:eastAsia="en-GB"/>
        </w:rPr>
        <w:t>In YCS establishments, face-to-face education and</w:t>
      </w:r>
      <w:r w:rsidRPr="007C6316">
        <w:rPr>
          <w:rFonts w:cstheme="minorHAnsi"/>
          <w:color w:val="000000"/>
        </w:rPr>
        <w:t xml:space="preserve"> interventions can co</w:t>
      </w:r>
      <w:r w:rsidRPr="007C6316">
        <w:rPr>
          <w:rFonts w:cstheme="minorHAnsi"/>
          <w:lang w:eastAsia="en-GB"/>
        </w:rPr>
        <w:t>ntinue to be delivered to small groups, with the additional option of mixing groups together in order to maximise delivery, and to tailor it to best meet the specific needs of all children.  The mixing of groups will only occur if an establishment’s Governor</w:t>
      </w:r>
      <w:r w:rsidR="00BE49C3">
        <w:rPr>
          <w:rFonts w:cstheme="minorHAnsi"/>
          <w:lang w:eastAsia="en-GB"/>
        </w:rPr>
        <w:t>/</w:t>
      </w:r>
      <w:r w:rsidRPr="007C6316">
        <w:rPr>
          <w:rFonts w:cstheme="minorHAnsi"/>
          <w:lang w:eastAsia="en-GB"/>
        </w:rPr>
        <w:t>Director</w:t>
      </w:r>
      <w:r w:rsidR="00BE49C3">
        <w:rPr>
          <w:rFonts w:cstheme="minorHAnsi"/>
          <w:lang w:eastAsia="en-GB"/>
        </w:rPr>
        <w:t xml:space="preserve"> and key stakeholders</w:t>
      </w:r>
      <w:r w:rsidRPr="007C6316">
        <w:rPr>
          <w:rFonts w:cstheme="minorHAnsi"/>
          <w:lang w:eastAsia="en-GB"/>
        </w:rPr>
        <w:t xml:space="preserve"> </w:t>
      </w:r>
      <w:r w:rsidR="00014E7B">
        <w:rPr>
          <w:rFonts w:cstheme="minorHAnsi"/>
          <w:lang w:eastAsia="en-GB"/>
        </w:rPr>
        <w:t>are</w:t>
      </w:r>
      <w:r w:rsidRPr="007C6316">
        <w:rPr>
          <w:rFonts w:cstheme="minorHAnsi"/>
          <w:lang w:eastAsia="en-GB"/>
        </w:rPr>
        <w:t xml:space="preserve"> satisfied that local circumstances and risks can be effectively managed.</w:t>
      </w:r>
    </w:p>
    <w:p w14:paraId="28599AD9" w14:textId="77777777" w:rsidR="00991678" w:rsidRPr="00D02B10" w:rsidRDefault="00991678" w:rsidP="00FE6911">
      <w:pPr>
        <w:spacing w:after="0" w:line="240" w:lineRule="auto"/>
        <w:jc w:val="both"/>
        <w:rPr>
          <w:rFonts w:cstheme="minorHAnsi"/>
          <w:lang w:eastAsia="en-GB"/>
        </w:rPr>
      </w:pPr>
    </w:p>
    <w:p w14:paraId="7020797C" w14:textId="6D60DECD" w:rsidR="00D8618C" w:rsidRPr="00FB3AFB" w:rsidRDefault="00991678" w:rsidP="00FE6911">
      <w:pPr>
        <w:pStyle w:val="ListParagraph"/>
        <w:numPr>
          <w:ilvl w:val="0"/>
          <w:numId w:val="8"/>
        </w:numPr>
        <w:jc w:val="both"/>
        <w:rPr>
          <w:rFonts w:eastAsia="Times New Roman" w:cstheme="minorHAnsi"/>
        </w:rPr>
      </w:pPr>
      <w:r w:rsidRPr="00FB3AFB">
        <w:rPr>
          <w:rFonts w:cstheme="minorHAnsi"/>
          <w:b/>
          <w:lang w:eastAsia="en-GB"/>
        </w:rPr>
        <w:t>Workshops and Industries:</w:t>
      </w:r>
      <w:r w:rsidRPr="00FB3AFB">
        <w:rPr>
          <w:rFonts w:cstheme="minorHAnsi"/>
          <w:lang w:eastAsia="en-GB"/>
        </w:rPr>
        <w:t xml:space="preserve"> </w:t>
      </w:r>
      <w:r w:rsidR="00D8618C" w:rsidRPr="00FB3AFB">
        <w:rPr>
          <w:rFonts w:cstheme="minorHAnsi"/>
          <w:lang w:eastAsia="en-GB"/>
        </w:rPr>
        <w:t xml:space="preserve">At </w:t>
      </w:r>
      <w:r w:rsidR="005D2304" w:rsidRPr="00FB3AFB">
        <w:rPr>
          <w:rFonts w:cstheme="minorHAnsi"/>
          <w:lang w:eastAsia="en-GB"/>
        </w:rPr>
        <w:t>S</w:t>
      </w:r>
      <w:r w:rsidR="00D8618C" w:rsidRPr="00FB3AFB">
        <w:rPr>
          <w:rFonts w:cstheme="minorHAnsi"/>
          <w:lang w:eastAsia="en-GB"/>
        </w:rPr>
        <w:t xml:space="preserve">tage 3, </w:t>
      </w:r>
      <w:r w:rsidR="00310DFA" w:rsidRPr="00FB3AFB">
        <w:rPr>
          <w:rFonts w:eastAsia="Times New Roman" w:cstheme="minorHAnsi"/>
        </w:rPr>
        <w:t>essential workshops</w:t>
      </w:r>
      <w:r w:rsidR="00264FDC" w:rsidRPr="00FB3AFB">
        <w:rPr>
          <w:rFonts w:eastAsia="Times New Roman" w:cstheme="minorHAnsi"/>
        </w:rPr>
        <w:t xml:space="preserve">, </w:t>
      </w:r>
      <w:r w:rsidR="00310DFA" w:rsidRPr="00FB3AFB">
        <w:rPr>
          <w:rFonts w:eastAsia="Times New Roman" w:cstheme="minorHAnsi"/>
        </w:rPr>
        <w:t xml:space="preserve">and others already approved by Gold can be reintroduced. Any new applications </w:t>
      </w:r>
      <w:r w:rsidR="00264FDC" w:rsidRPr="00FB3AFB">
        <w:rPr>
          <w:rFonts w:eastAsia="Times New Roman" w:cstheme="minorHAnsi"/>
        </w:rPr>
        <w:t>for workshops which</w:t>
      </w:r>
      <w:r w:rsidR="00264FDC" w:rsidRPr="00FB3AFB">
        <w:rPr>
          <w:rFonts w:eastAsia="Times New Roman"/>
        </w:rPr>
        <w:t xml:space="preserve"> have commercial imperative to the operation of the prison </w:t>
      </w:r>
      <w:r w:rsidR="00684506" w:rsidRPr="00FB3AFB">
        <w:rPr>
          <w:rFonts w:eastAsia="Times New Roman"/>
        </w:rPr>
        <w:t xml:space="preserve">; </w:t>
      </w:r>
      <w:r w:rsidR="00264FDC" w:rsidRPr="00FB3AFB">
        <w:rPr>
          <w:rFonts w:eastAsia="Times New Roman"/>
        </w:rPr>
        <w:t>warrant consideration around retaining critical work going forwards</w:t>
      </w:r>
      <w:r w:rsidR="00264FDC" w:rsidRPr="00FB3AFB">
        <w:rPr>
          <w:rFonts w:eastAsia="Times New Roman" w:cstheme="minorHAnsi"/>
        </w:rPr>
        <w:t xml:space="preserve"> </w:t>
      </w:r>
      <w:r w:rsidR="00684506" w:rsidRPr="00FB3AFB">
        <w:rPr>
          <w:rFonts w:eastAsia="Times New Roman" w:cstheme="minorHAnsi"/>
        </w:rPr>
        <w:t>or</w:t>
      </w:r>
      <w:r w:rsidR="00684506" w:rsidRPr="00FB3AFB">
        <w:t xml:space="preserve"> </w:t>
      </w:r>
      <w:r w:rsidR="00FB3AFB" w:rsidRPr="00FB3AFB">
        <w:t xml:space="preserve">are </w:t>
      </w:r>
      <w:r w:rsidR="00684506" w:rsidRPr="00FB3AFB">
        <w:t>from the list at Annex’s A &amp; B in EDM 2 (Industries and NFN) that is not covered by an existing LOP</w:t>
      </w:r>
      <w:r w:rsidR="00684506" w:rsidRPr="00FB3AFB">
        <w:rPr>
          <w:rFonts w:eastAsia="Times New Roman" w:cstheme="minorHAnsi"/>
        </w:rPr>
        <w:t xml:space="preserve"> require a </w:t>
      </w:r>
      <w:r w:rsidR="00684506" w:rsidRPr="00FB3AFB">
        <w:t xml:space="preserve">risk assessment and consultation with  Trade Unions locally (recorded via an engagement log). These can then be signed off at PGD level. </w:t>
      </w:r>
    </w:p>
    <w:p w14:paraId="38505D7A" w14:textId="77777777" w:rsidR="00FB3AFB" w:rsidRPr="00FB3AFB" w:rsidRDefault="00FB3AFB" w:rsidP="00FB3AFB">
      <w:pPr>
        <w:pStyle w:val="ListParagraph"/>
        <w:ind w:left="360"/>
        <w:jc w:val="both"/>
        <w:rPr>
          <w:rFonts w:eastAsia="Times New Roman" w:cstheme="minorHAnsi"/>
        </w:rPr>
      </w:pPr>
    </w:p>
    <w:p w14:paraId="28E17293" w14:textId="77777777" w:rsidR="00227E91" w:rsidRPr="00752093" w:rsidRDefault="00310DFA" w:rsidP="00FE6911">
      <w:pPr>
        <w:pStyle w:val="ListParagraph"/>
        <w:numPr>
          <w:ilvl w:val="0"/>
          <w:numId w:val="8"/>
        </w:numPr>
        <w:ind w:left="357" w:hanging="357"/>
        <w:jc w:val="both"/>
        <w:rPr>
          <w:rFonts w:eastAsia="Times New Roman" w:cstheme="minorHAnsi"/>
        </w:rPr>
      </w:pPr>
      <w:bookmarkStart w:id="1" w:name="_Hlk65145246"/>
      <w:r w:rsidRPr="00061555">
        <w:rPr>
          <w:rFonts w:eastAsia="Times New Roman" w:cstheme="minorHAnsi"/>
          <w:b/>
        </w:rPr>
        <w:t xml:space="preserve">ROTL: </w:t>
      </w:r>
      <w:r w:rsidR="0082302C" w:rsidRPr="00061555">
        <w:rPr>
          <w:rFonts w:eastAsia="Times New Roman" w:cstheme="minorHAnsi"/>
        </w:rPr>
        <w:t>Establishments can</w:t>
      </w:r>
      <w:r w:rsidRPr="00061555">
        <w:rPr>
          <w:rFonts w:eastAsia="Times New Roman" w:cstheme="minorHAnsi"/>
        </w:rPr>
        <w:t xml:space="preserve"> reintroduce the forms of ROTL permitted at Stage 3 (e.g. for work, for education, for resettlement etc) but must </w:t>
      </w:r>
      <w:r w:rsidR="00A70A4B">
        <w:rPr>
          <w:rFonts w:eastAsia="Times New Roman" w:cstheme="minorHAnsi"/>
        </w:rPr>
        <w:t>comply with</w:t>
      </w:r>
      <w:r w:rsidRPr="00061555">
        <w:rPr>
          <w:rFonts w:eastAsia="Times New Roman" w:cstheme="minorHAnsi"/>
        </w:rPr>
        <w:t xml:space="preserve"> community restrictions on travel and household mixing</w:t>
      </w:r>
      <w:r w:rsidR="001D207F" w:rsidRPr="00061555">
        <w:rPr>
          <w:rFonts w:eastAsia="Times New Roman" w:cstheme="minorHAnsi"/>
        </w:rPr>
        <w:t>. We</w:t>
      </w:r>
      <w:r w:rsidRPr="00061555">
        <w:rPr>
          <w:rFonts w:eastAsia="Times New Roman" w:cstheme="minorHAnsi"/>
        </w:rPr>
        <w:t xml:space="preserve"> </w:t>
      </w:r>
      <w:r w:rsidR="001D207F" w:rsidRPr="00061555">
        <w:rPr>
          <w:rFonts w:eastAsia="Times New Roman" w:cstheme="minorHAnsi"/>
        </w:rPr>
        <w:t>wi</w:t>
      </w:r>
      <w:r w:rsidR="0082302C" w:rsidRPr="00061555">
        <w:rPr>
          <w:rFonts w:eastAsia="Times New Roman" w:cstheme="minorHAnsi"/>
        </w:rPr>
        <w:t>l</w:t>
      </w:r>
      <w:r w:rsidR="001D207F" w:rsidRPr="00061555">
        <w:rPr>
          <w:rFonts w:eastAsia="Times New Roman" w:cstheme="minorHAnsi"/>
        </w:rPr>
        <w:t>l review this approach in line with expected relaxations on</w:t>
      </w:r>
      <w:r w:rsidR="0082302C" w:rsidRPr="00061555">
        <w:rPr>
          <w:rFonts w:eastAsia="Times New Roman" w:cstheme="minorHAnsi"/>
        </w:rPr>
        <w:t xml:space="preserve"> restrictions in the community </w:t>
      </w:r>
      <w:r w:rsidR="00D10A05">
        <w:rPr>
          <w:rFonts w:eastAsia="Times New Roman" w:cstheme="minorHAnsi"/>
        </w:rPr>
        <w:t>and more detailed guidance will be published in due course</w:t>
      </w:r>
      <w:r w:rsidR="0082302C" w:rsidRPr="00061555">
        <w:rPr>
          <w:rFonts w:eastAsia="Times New Roman" w:cstheme="minorHAnsi"/>
        </w:rPr>
        <w:t xml:space="preserve">. </w:t>
      </w:r>
      <w:r w:rsidR="00A925B9">
        <w:rPr>
          <w:rFonts w:eastAsia="Times New Roman" w:cstheme="minorHAnsi"/>
        </w:rPr>
        <w:t>From 8</w:t>
      </w:r>
      <w:r w:rsidR="00A925B9" w:rsidRPr="00A925B9">
        <w:rPr>
          <w:rFonts w:eastAsia="Times New Roman" w:cstheme="minorHAnsi"/>
          <w:vertAlign w:val="superscript"/>
        </w:rPr>
        <w:t>th</w:t>
      </w:r>
      <w:r w:rsidR="00A925B9">
        <w:rPr>
          <w:rFonts w:eastAsia="Times New Roman" w:cstheme="minorHAnsi"/>
        </w:rPr>
        <w:t xml:space="preserve"> March 1:1 meeting in the outdoors can take place and may therefore be in scope for ROTL.  </w:t>
      </w:r>
      <w:r w:rsidR="00324BC1" w:rsidRPr="00A925B9">
        <w:t xml:space="preserve">Open </w:t>
      </w:r>
      <w:r w:rsidR="00873D63" w:rsidRPr="00A925B9">
        <w:t xml:space="preserve">prisons </w:t>
      </w:r>
      <w:r w:rsidR="00324BC1" w:rsidRPr="00A925B9">
        <w:t xml:space="preserve">operating Stage </w:t>
      </w:r>
      <w:r w:rsidR="00A925B9" w:rsidRPr="00A925B9">
        <w:t>4 regimes</w:t>
      </w:r>
      <w:r w:rsidR="00324BC1" w:rsidRPr="00A925B9">
        <w:t xml:space="preserve"> will be able to treat those prisoners enrolled in full time </w:t>
      </w:r>
      <w:r w:rsidR="00A925B9" w:rsidRPr="00A925B9">
        <w:t>education as</w:t>
      </w:r>
      <w:r w:rsidR="00324BC1" w:rsidRPr="00A925B9">
        <w:t xml:space="preserve"> essential workers.</w:t>
      </w:r>
    </w:p>
    <w:p w14:paraId="6BF533DD" w14:textId="77777777" w:rsidR="00752093" w:rsidRPr="00752093" w:rsidRDefault="00752093" w:rsidP="00752093">
      <w:pPr>
        <w:pStyle w:val="ListParagraph"/>
        <w:rPr>
          <w:rFonts w:eastAsia="Times New Roman" w:cstheme="minorHAnsi"/>
        </w:rPr>
      </w:pPr>
    </w:p>
    <w:p w14:paraId="38D3838C" w14:textId="2383A05C" w:rsidR="00752093" w:rsidRDefault="00752093" w:rsidP="00FE6911">
      <w:pPr>
        <w:pStyle w:val="ListParagraph"/>
        <w:numPr>
          <w:ilvl w:val="0"/>
          <w:numId w:val="8"/>
        </w:numPr>
        <w:ind w:left="357" w:hanging="357"/>
        <w:jc w:val="both"/>
        <w:rPr>
          <w:rFonts w:eastAsia="Times New Roman" w:cstheme="minorHAnsi"/>
        </w:rPr>
      </w:pPr>
      <w:r w:rsidRPr="00752093">
        <w:rPr>
          <w:rFonts w:eastAsia="Times New Roman" w:cstheme="minorHAnsi"/>
          <w:b/>
        </w:rPr>
        <w:t>Keywork</w:t>
      </w:r>
      <w:r>
        <w:rPr>
          <w:rFonts w:eastAsia="Times New Roman" w:cstheme="minorHAnsi"/>
        </w:rPr>
        <w:t xml:space="preserve"> </w:t>
      </w:r>
      <w:r w:rsidR="005F507C">
        <w:rPr>
          <w:rFonts w:eastAsia="Times New Roman" w:cstheme="minorHAnsi"/>
        </w:rPr>
        <w:t>–</w:t>
      </w:r>
      <w:r>
        <w:rPr>
          <w:rFonts w:eastAsia="Times New Roman" w:cstheme="minorHAnsi"/>
        </w:rPr>
        <w:t xml:space="preserve"> </w:t>
      </w:r>
      <w:r w:rsidR="00D7625A">
        <w:rPr>
          <w:rFonts w:eastAsia="Times New Roman" w:cstheme="minorHAnsi"/>
        </w:rPr>
        <w:t>Aware of the negative impacts that prolonged lock down regimes can have on mental wellbeing, e</w:t>
      </w:r>
      <w:r w:rsidR="005F507C">
        <w:rPr>
          <w:rFonts w:eastAsia="Times New Roman" w:cstheme="minorHAnsi"/>
        </w:rPr>
        <w:t xml:space="preserve">stablishments are encouraged to </w:t>
      </w:r>
      <w:r w:rsidR="00414C3B">
        <w:rPr>
          <w:rFonts w:eastAsia="Times New Roman" w:cstheme="minorHAnsi"/>
        </w:rPr>
        <w:t xml:space="preserve">maintain focus on wellbeing as they transition to Stage 3. </w:t>
      </w:r>
      <w:r w:rsidR="00AF6EDE">
        <w:rPr>
          <w:rFonts w:eastAsia="Times New Roman" w:cstheme="minorHAnsi"/>
        </w:rPr>
        <w:t xml:space="preserve">The elements of keywork currently being delivered at Stage 4 can be expanded in line with the EDM for Stage 3, increasing the requirement for sessions. </w:t>
      </w:r>
      <w:r w:rsidR="005F507C">
        <w:rPr>
          <w:rFonts w:eastAsia="Times New Roman" w:cstheme="minorHAnsi"/>
        </w:rPr>
        <w:t xml:space="preserve"> </w:t>
      </w:r>
      <w:r w:rsidR="00C139BC">
        <w:rPr>
          <w:rFonts w:eastAsia="Times New Roman" w:cstheme="minorHAnsi"/>
        </w:rPr>
        <w:t xml:space="preserve">In the Women’s estate where the Keywork model is not yet rolled out, the existing model of wellbeing checks must be prioritised and continue at Stage 3. </w:t>
      </w:r>
    </w:p>
    <w:bookmarkEnd w:id="1"/>
    <w:p w14:paraId="256A58D2" w14:textId="77777777" w:rsidR="00FE6911" w:rsidRPr="00F16565" w:rsidRDefault="00FE6911" w:rsidP="00F16565">
      <w:pPr>
        <w:jc w:val="both"/>
        <w:rPr>
          <w:rFonts w:eastAsia="Times New Roman" w:cstheme="minorHAnsi"/>
        </w:rPr>
      </w:pPr>
    </w:p>
    <w:p w14:paraId="7BDE2449" w14:textId="5C0A1D33" w:rsidR="00091A3C" w:rsidRPr="00091A3C" w:rsidRDefault="00310DFA" w:rsidP="00091A3C">
      <w:pPr>
        <w:pStyle w:val="ListParagraph"/>
        <w:numPr>
          <w:ilvl w:val="0"/>
          <w:numId w:val="8"/>
        </w:numPr>
        <w:jc w:val="both"/>
        <w:rPr>
          <w:rFonts w:eastAsia="Times New Roman" w:cstheme="minorHAnsi"/>
        </w:rPr>
      </w:pPr>
      <w:r w:rsidRPr="00061555">
        <w:rPr>
          <w:rFonts w:eastAsia="Times New Roman" w:cstheme="minorHAnsi"/>
          <w:b/>
        </w:rPr>
        <w:t xml:space="preserve">Physical Education: </w:t>
      </w:r>
      <w:r w:rsidR="00697794" w:rsidRPr="00061555">
        <w:rPr>
          <w:rFonts w:eastAsia="Times New Roman" w:cstheme="minorHAnsi"/>
        </w:rPr>
        <w:t xml:space="preserve">At </w:t>
      </w:r>
      <w:r w:rsidR="004F2A75">
        <w:rPr>
          <w:rFonts w:eastAsia="Times New Roman" w:cstheme="minorHAnsi"/>
        </w:rPr>
        <w:t>S</w:t>
      </w:r>
      <w:r w:rsidR="00697794" w:rsidRPr="00061555">
        <w:rPr>
          <w:rFonts w:eastAsia="Times New Roman" w:cstheme="minorHAnsi"/>
        </w:rPr>
        <w:t>tage 3 e</w:t>
      </w:r>
      <w:r w:rsidRPr="00061555">
        <w:rPr>
          <w:rFonts w:eastAsia="Times New Roman" w:cstheme="minorHAnsi"/>
        </w:rPr>
        <w:t xml:space="preserve">stablishments cannot </w:t>
      </w:r>
      <w:r w:rsidR="002B46BB" w:rsidRPr="00061555">
        <w:rPr>
          <w:rFonts w:eastAsia="Times New Roman" w:cstheme="minorHAnsi"/>
        </w:rPr>
        <w:t xml:space="preserve">yet </w:t>
      </w:r>
      <w:r w:rsidRPr="00061555">
        <w:rPr>
          <w:rFonts w:eastAsia="Times New Roman" w:cstheme="minorHAnsi"/>
        </w:rPr>
        <w:t>allow fre</w:t>
      </w:r>
      <w:r w:rsidR="00A772C0">
        <w:rPr>
          <w:rFonts w:eastAsia="Times New Roman" w:cstheme="minorHAnsi"/>
        </w:rPr>
        <w:t>e</w:t>
      </w:r>
      <w:r w:rsidRPr="00061555">
        <w:rPr>
          <w:rFonts w:eastAsia="Times New Roman" w:cstheme="minorHAnsi"/>
        </w:rPr>
        <w:t xml:space="preserve"> access to the gym</w:t>
      </w:r>
      <w:r w:rsidR="00091A3C">
        <w:rPr>
          <w:rFonts w:eastAsia="Times New Roman" w:cstheme="minorHAnsi"/>
        </w:rPr>
        <w:t xml:space="preserve">. In </w:t>
      </w:r>
      <w:r w:rsidR="002C624E">
        <w:rPr>
          <w:rFonts w:eastAsia="Times New Roman" w:cstheme="minorHAnsi"/>
        </w:rPr>
        <w:t xml:space="preserve">both </w:t>
      </w:r>
      <w:r w:rsidR="00091A3C">
        <w:rPr>
          <w:rFonts w:eastAsia="Times New Roman" w:cstheme="minorHAnsi"/>
        </w:rPr>
        <w:t>England</w:t>
      </w:r>
      <w:r w:rsidRPr="00FE6911">
        <w:rPr>
          <w:rFonts w:eastAsia="Times New Roman" w:cstheme="minorHAnsi"/>
        </w:rPr>
        <w:t xml:space="preserve"> </w:t>
      </w:r>
      <w:r w:rsidR="002C624E">
        <w:rPr>
          <w:rFonts w:eastAsia="Times New Roman" w:cstheme="minorHAnsi"/>
        </w:rPr>
        <w:t xml:space="preserve">and Wales, </w:t>
      </w:r>
      <w:r w:rsidRPr="00FE6911">
        <w:rPr>
          <w:rFonts w:eastAsia="Times New Roman" w:cstheme="minorHAnsi"/>
        </w:rPr>
        <w:t xml:space="preserve">indoor structured physical activity will be permitted for both staff and </w:t>
      </w:r>
      <w:r w:rsidR="00A925B9">
        <w:rPr>
          <w:rFonts w:eastAsia="Times New Roman" w:cstheme="minorHAnsi"/>
        </w:rPr>
        <w:t>prisoner</w:t>
      </w:r>
      <w:r w:rsidR="00D8606A">
        <w:rPr>
          <w:rFonts w:eastAsia="Times New Roman" w:cstheme="minorHAnsi"/>
        </w:rPr>
        <w:t>s</w:t>
      </w:r>
      <w:r w:rsidRPr="00FE6911">
        <w:rPr>
          <w:rFonts w:eastAsia="Times New Roman" w:cstheme="minorHAnsi"/>
        </w:rPr>
        <w:t xml:space="preserve">, as </w:t>
      </w:r>
      <w:r w:rsidR="00BD483F">
        <w:rPr>
          <w:rFonts w:eastAsia="Times New Roman" w:cstheme="minorHAnsi"/>
        </w:rPr>
        <w:t xml:space="preserve">was </w:t>
      </w:r>
      <w:r w:rsidR="00D8606A">
        <w:rPr>
          <w:rFonts w:eastAsia="Times New Roman" w:cstheme="minorHAnsi"/>
        </w:rPr>
        <w:t>operated</w:t>
      </w:r>
      <w:r w:rsidRPr="00FE6911">
        <w:rPr>
          <w:rFonts w:eastAsia="Times New Roman" w:cstheme="minorHAnsi"/>
        </w:rPr>
        <w:t xml:space="preserve"> during the period of national restrictions in November. </w:t>
      </w:r>
      <w:r w:rsidR="004E4E4E" w:rsidRPr="00FE6911">
        <w:rPr>
          <w:rFonts w:eastAsia="Times New Roman" w:cstheme="minorHAnsi"/>
        </w:rPr>
        <w:t xml:space="preserve"> A revised version of the guidance provided in November is provided below, which expands provision of indoor structured physical activity to </w:t>
      </w:r>
      <w:r w:rsidR="00995F5C">
        <w:rPr>
          <w:rFonts w:eastAsia="Times New Roman" w:cstheme="minorHAnsi"/>
        </w:rPr>
        <w:t>establishment</w:t>
      </w:r>
      <w:r w:rsidR="004E4E4E" w:rsidRPr="00FE6911">
        <w:rPr>
          <w:rFonts w:eastAsia="Times New Roman" w:cstheme="minorHAnsi"/>
        </w:rPr>
        <w:t xml:space="preserve"> staff</w:t>
      </w:r>
      <w:r w:rsidR="002C624E">
        <w:rPr>
          <w:rFonts w:eastAsia="Times New Roman" w:cstheme="minorHAnsi"/>
        </w:rPr>
        <w:t xml:space="preserve">. </w:t>
      </w:r>
    </w:p>
    <w:p w14:paraId="142306F9" w14:textId="77777777" w:rsidR="00A05EC2" w:rsidRPr="00061555" w:rsidRDefault="00A05EC2" w:rsidP="00A772C0">
      <w:pPr>
        <w:pStyle w:val="ListParagraph"/>
        <w:jc w:val="both"/>
        <w:rPr>
          <w:rFonts w:eastAsia="Times New Roman" w:cstheme="minorHAnsi"/>
        </w:rPr>
      </w:pPr>
    </w:p>
    <w:bookmarkStart w:id="2" w:name="_MON_1675787869"/>
    <w:bookmarkEnd w:id="2"/>
    <w:p w14:paraId="1ECF3B14" w14:textId="77777777" w:rsidR="003C0B75" w:rsidRPr="00F16565" w:rsidRDefault="00F16565" w:rsidP="00061555">
      <w:pPr>
        <w:spacing w:line="240" w:lineRule="auto"/>
        <w:jc w:val="both"/>
        <w:rPr>
          <w:rFonts w:ascii="Arial" w:eastAsia="Times New Roman" w:hAnsi="Arial" w:cs="Arial"/>
        </w:rPr>
      </w:pPr>
      <w:r>
        <w:object w:dxaOrig="1504" w:dyaOrig="982" w14:anchorId="62B3DE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0" o:title=""/>
          </v:shape>
          <o:OLEObject Type="Embed" ProgID="Word.Document.12" ShapeID="_x0000_i1025" DrawAspect="Icon" ObjectID="_1676186264" r:id="rId11">
            <o:FieldCodes>\s</o:FieldCodes>
          </o:OLEObject>
        </w:object>
      </w:r>
    </w:p>
    <w:p w14:paraId="0F1A1FB9" w14:textId="2EED852A" w:rsidR="00A05EC2" w:rsidRDefault="00A05EC2" w:rsidP="00D7625A">
      <w:pPr>
        <w:pStyle w:val="ListParagraph"/>
        <w:numPr>
          <w:ilvl w:val="0"/>
          <w:numId w:val="11"/>
        </w:numPr>
        <w:jc w:val="both"/>
        <w:rPr>
          <w:rFonts w:eastAsia="Times New Roman" w:cstheme="minorHAnsi"/>
        </w:rPr>
      </w:pPr>
      <w:r>
        <w:rPr>
          <w:rFonts w:eastAsia="Times New Roman" w:cstheme="minorHAnsi"/>
          <w:b/>
        </w:rPr>
        <w:t>Mandatory Drug Testing</w:t>
      </w:r>
      <w:r w:rsidRPr="00A05EC2">
        <w:rPr>
          <w:rFonts w:eastAsia="Times New Roman" w:cstheme="minorHAnsi"/>
          <w:b/>
        </w:rPr>
        <w:t xml:space="preserve">: </w:t>
      </w:r>
      <w:r w:rsidRPr="00A05EC2">
        <w:rPr>
          <w:rFonts w:eastAsia="Times New Roman" w:cstheme="minorHAnsi"/>
        </w:rPr>
        <w:t>Following the</w:t>
      </w:r>
      <w:r>
        <w:rPr>
          <w:rFonts w:eastAsia="Times New Roman" w:cstheme="minorHAnsi"/>
        </w:rPr>
        <w:t xml:space="preserve"> Winter Regime</w:t>
      </w:r>
      <w:r w:rsidRPr="00A05EC2">
        <w:rPr>
          <w:rFonts w:eastAsia="Times New Roman" w:cstheme="minorHAnsi"/>
        </w:rPr>
        <w:t xml:space="preserve"> Review, and at the request of Governors and the operational frontline</w:t>
      </w:r>
      <w:r w:rsidR="00D8606A">
        <w:rPr>
          <w:rFonts w:eastAsia="Times New Roman" w:cstheme="minorHAnsi"/>
        </w:rPr>
        <w:t>,</w:t>
      </w:r>
      <w:r w:rsidRPr="00A05EC2">
        <w:rPr>
          <w:rFonts w:eastAsia="Times New Roman" w:cstheme="minorHAnsi"/>
        </w:rPr>
        <w:t xml:space="preserve"> we have now made changes to MDT EDM to exceptional testing to take place (even in Stage 4) where intel</w:t>
      </w:r>
      <w:r w:rsidR="006F0618">
        <w:rPr>
          <w:rFonts w:eastAsia="Times New Roman" w:cstheme="minorHAnsi"/>
        </w:rPr>
        <w:t>ligence</w:t>
      </w:r>
      <w:r w:rsidRPr="00A05EC2">
        <w:rPr>
          <w:rFonts w:eastAsia="Times New Roman" w:cstheme="minorHAnsi"/>
        </w:rPr>
        <w:t xml:space="preserve"> suggests there is suspicion. </w:t>
      </w:r>
    </w:p>
    <w:p w14:paraId="691A6397" w14:textId="346B85B4" w:rsidR="001C47A9" w:rsidRDefault="001C47A9" w:rsidP="001C47A9">
      <w:pPr>
        <w:pStyle w:val="ListParagraph"/>
        <w:ind w:left="360"/>
        <w:jc w:val="both"/>
        <w:rPr>
          <w:rFonts w:eastAsia="Times New Roman" w:cstheme="minorHAnsi"/>
          <w:b/>
        </w:rPr>
      </w:pPr>
    </w:p>
    <w:bookmarkStart w:id="3" w:name="_MON_1676124155"/>
    <w:bookmarkEnd w:id="3"/>
    <w:p w14:paraId="1BF508CF" w14:textId="5431C9AB" w:rsidR="001C47A9" w:rsidRPr="00A05EC2" w:rsidRDefault="001C47A9" w:rsidP="001C47A9">
      <w:pPr>
        <w:pStyle w:val="ListParagraph"/>
        <w:ind w:left="360"/>
        <w:jc w:val="both"/>
        <w:rPr>
          <w:rFonts w:eastAsia="Times New Roman" w:cstheme="minorHAnsi"/>
        </w:rPr>
      </w:pPr>
      <w:r>
        <w:object w:dxaOrig="1504" w:dyaOrig="982" w14:anchorId="3646C64A">
          <v:shape id="_x0000_i1026" type="#_x0000_t75" style="width:75pt;height:49pt" o:ole="">
            <v:imagedata r:id="rId12" o:title=""/>
          </v:shape>
          <o:OLEObject Type="Embed" ProgID="Word.Document.12" ShapeID="_x0000_i1026" DrawAspect="Icon" ObjectID="_1676186265" r:id="rId13">
            <o:FieldCodes>\s</o:FieldCodes>
          </o:OLEObject>
        </w:object>
      </w:r>
    </w:p>
    <w:p w14:paraId="3D972602" w14:textId="77777777" w:rsidR="00A05EC2" w:rsidRDefault="00A05EC2" w:rsidP="00061555">
      <w:pPr>
        <w:spacing w:line="240" w:lineRule="auto"/>
        <w:jc w:val="both"/>
        <w:rPr>
          <w:rFonts w:ascii="Arial" w:eastAsia="Times New Roman" w:hAnsi="Arial" w:cs="Arial"/>
        </w:rPr>
      </w:pPr>
    </w:p>
    <w:p w14:paraId="6A99DEFC" w14:textId="77777777" w:rsidR="00D7625A" w:rsidRDefault="00D7625A" w:rsidP="00D7625A">
      <w:pPr>
        <w:jc w:val="both"/>
        <w:rPr>
          <w:rFonts w:cstheme="minorHAnsi"/>
          <w:b/>
        </w:rPr>
      </w:pPr>
      <w:r>
        <w:rPr>
          <w:rFonts w:cstheme="minorHAnsi"/>
          <w:b/>
        </w:rPr>
        <w:t xml:space="preserve">Other Considerations </w:t>
      </w:r>
    </w:p>
    <w:p w14:paraId="2C0C5598" w14:textId="77777777" w:rsidR="001624B3" w:rsidRPr="00D7625A" w:rsidRDefault="004646FB" w:rsidP="00D7625A">
      <w:pPr>
        <w:jc w:val="both"/>
        <w:rPr>
          <w:rFonts w:ascii="Calibri" w:hAnsi="Calibri" w:cstheme="minorHAnsi"/>
          <w:b/>
        </w:rPr>
      </w:pPr>
      <w:r w:rsidRPr="004F7C8B">
        <w:rPr>
          <w:rFonts w:cstheme="minorHAnsi"/>
          <w:b/>
        </w:rPr>
        <w:t xml:space="preserve">Testing and Vaccinations – </w:t>
      </w:r>
      <w:r w:rsidR="00F3575F" w:rsidRPr="004F7C8B">
        <w:rPr>
          <w:rFonts w:cstheme="minorHAnsi"/>
        </w:rPr>
        <w:t>The roll-out of testing and vaccinations remain</w:t>
      </w:r>
      <w:r w:rsidR="001029F2">
        <w:rPr>
          <w:rFonts w:cstheme="minorHAnsi"/>
        </w:rPr>
        <w:t>s</w:t>
      </w:r>
      <w:r w:rsidR="00F3575F" w:rsidRPr="004F7C8B">
        <w:rPr>
          <w:rFonts w:cstheme="minorHAnsi"/>
        </w:rPr>
        <w:t xml:space="preserve"> crucial in the safe easing of establishment restrictions. Whilst no sing</w:t>
      </w:r>
      <w:r w:rsidR="00D8606A">
        <w:rPr>
          <w:rFonts w:cstheme="minorHAnsi"/>
        </w:rPr>
        <w:t>le</w:t>
      </w:r>
      <w:r w:rsidR="00F3575F" w:rsidRPr="004F7C8B">
        <w:rPr>
          <w:rFonts w:cstheme="minorHAnsi"/>
        </w:rPr>
        <w:t xml:space="preserve"> factor will be determinat</w:t>
      </w:r>
      <w:r w:rsidR="00D8606A">
        <w:rPr>
          <w:rFonts w:cstheme="minorHAnsi"/>
        </w:rPr>
        <w:t>ive</w:t>
      </w:r>
      <w:r w:rsidR="00F3575F" w:rsidRPr="004F7C8B">
        <w:rPr>
          <w:rFonts w:cstheme="minorHAnsi"/>
        </w:rPr>
        <w:t xml:space="preserve"> in </w:t>
      </w:r>
      <w:r w:rsidR="000703C4">
        <w:rPr>
          <w:rFonts w:cstheme="minorHAnsi"/>
        </w:rPr>
        <w:t>decision making</w:t>
      </w:r>
      <w:r w:rsidR="00EE5A87" w:rsidRPr="004F7C8B">
        <w:rPr>
          <w:rFonts w:cstheme="minorHAnsi"/>
        </w:rPr>
        <w:t xml:space="preserve"> </w:t>
      </w:r>
      <w:r w:rsidR="00F3575F" w:rsidRPr="004F7C8B">
        <w:rPr>
          <w:rFonts w:cstheme="minorHAnsi"/>
        </w:rPr>
        <w:t xml:space="preserve">for progression, testing uptake at sites will be taken into account, along with progression of vaccination programmes. </w:t>
      </w:r>
      <w:r w:rsidR="00A70A4B">
        <w:rPr>
          <w:rFonts w:cstheme="minorHAnsi"/>
        </w:rPr>
        <w:t xml:space="preserve">Governors are encouraged to do all they can to encourage testing uptake from both staff and </w:t>
      </w:r>
      <w:r w:rsidR="00F9796E">
        <w:rPr>
          <w:rFonts w:cstheme="minorHAnsi"/>
        </w:rPr>
        <w:t xml:space="preserve">those in custody </w:t>
      </w:r>
      <w:r w:rsidR="00A70A4B">
        <w:rPr>
          <w:rFonts w:cstheme="minorHAnsi"/>
        </w:rPr>
        <w:t>and to reinforce messaging that</w:t>
      </w:r>
      <w:r w:rsidR="000703C4">
        <w:rPr>
          <w:rFonts w:cstheme="minorHAnsi"/>
        </w:rPr>
        <w:t>,</w:t>
      </w:r>
      <w:r w:rsidR="00A70A4B">
        <w:rPr>
          <w:rFonts w:cstheme="minorHAnsi"/>
        </w:rPr>
        <w:t xml:space="preserve"> as restrictions lift, testing and vaccinations will be crucial to maintaining safety and ensuring that we </w:t>
      </w:r>
      <w:r w:rsidR="000703C4">
        <w:rPr>
          <w:rFonts w:cstheme="minorHAnsi"/>
        </w:rPr>
        <w:t>d</w:t>
      </w:r>
      <w:r w:rsidR="00A70A4B">
        <w:rPr>
          <w:rFonts w:cstheme="minorHAnsi"/>
        </w:rPr>
        <w:t xml:space="preserve">o not need to reverse regimes. </w:t>
      </w:r>
      <w:r w:rsidR="00F3575F" w:rsidRPr="004F7C8B">
        <w:rPr>
          <w:rFonts w:cstheme="minorHAnsi"/>
        </w:rPr>
        <w:t xml:space="preserve">Guidance on testing </w:t>
      </w:r>
      <w:r w:rsidR="00F17253">
        <w:rPr>
          <w:rFonts w:cstheme="minorHAnsi"/>
        </w:rPr>
        <w:t>has been circulated separately and is</w:t>
      </w:r>
      <w:r w:rsidR="00F3575F" w:rsidRPr="004F7C8B">
        <w:rPr>
          <w:rFonts w:cstheme="minorHAnsi"/>
        </w:rPr>
        <w:t xml:space="preserve"> available via: </w:t>
      </w:r>
      <w:hyperlink r:id="rId14" w:history="1">
        <w:r w:rsidR="00F3575F" w:rsidRPr="004F7C8B">
          <w:rPr>
            <w:rStyle w:val="Hyperlink"/>
            <w:rFonts w:cstheme="minorHAnsi"/>
          </w:rPr>
          <w:t>https://hmppsintranet.org.uk/ersd-guidance/2020/04/28/staff-testing-in-england</w:t>
        </w:r>
      </w:hyperlink>
      <w:r w:rsidR="00F3575F" w:rsidRPr="004F7C8B">
        <w:rPr>
          <w:rFonts w:cstheme="minorHAnsi"/>
          <w:b/>
        </w:rPr>
        <w:t xml:space="preserve">. </w:t>
      </w:r>
    </w:p>
    <w:p w14:paraId="171905CF" w14:textId="77777777" w:rsidR="00D7625A" w:rsidRDefault="00D7625A" w:rsidP="00061555">
      <w:pPr>
        <w:spacing w:line="240" w:lineRule="auto"/>
        <w:jc w:val="both"/>
      </w:pPr>
    </w:p>
    <w:p w14:paraId="36009630" w14:textId="77777777" w:rsidR="00804F24" w:rsidRDefault="00804F24" w:rsidP="00061555">
      <w:pPr>
        <w:pStyle w:val="ListParagraph"/>
        <w:numPr>
          <w:ilvl w:val="0"/>
          <w:numId w:val="7"/>
        </w:numPr>
        <w:jc w:val="both"/>
        <w:rPr>
          <w:b/>
        </w:rPr>
      </w:pPr>
      <w:r w:rsidRPr="00DE792B">
        <w:rPr>
          <w:b/>
        </w:rPr>
        <w:t>Annexes</w:t>
      </w:r>
    </w:p>
    <w:p w14:paraId="4F8E8DEC" w14:textId="77777777" w:rsidR="00DE792B" w:rsidRPr="00DE792B" w:rsidRDefault="00DE792B" w:rsidP="00061555">
      <w:pPr>
        <w:pStyle w:val="ListParagraph"/>
        <w:ind w:left="360"/>
        <w:jc w:val="both"/>
        <w:rPr>
          <w:b/>
        </w:rPr>
      </w:pPr>
    </w:p>
    <w:p w14:paraId="2AE77273" w14:textId="77777777" w:rsidR="00061555" w:rsidRDefault="00804F24" w:rsidP="00061555">
      <w:pPr>
        <w:spacing w:line="240" w:lineRule="auto"/>
        <w:jc w:val="both"/>
        <w:rPr>
          <w:b/>
        </w:rPr>
      </w:pPr>
      <w:r>
        <w:rPr>
          <w:b/>
        </w:rPr>
        <w:t>Annex A – Checklist</w:t>
      </w:r>
      <w:r w:rsidR="00061555">
        <w:rPr>
          <w:b/>
        </w:rPr>
        <w:t xml:space="preserve"> Document </w:t>
      </w:r>
    </w:p>
    <w:p w14:paraId="0C1E65D8" w14:textId="77777777" w:rsidR="00D7625A" w:rsidRPr="00D7625A" w:rsidRDefault="008D0B1A" w:rsidP="00061555">
      <w:pPr>
        <w:spacing w:line="240" w:lineRule="auto"/>
        <w:jc w:val="both"/>
      </w:pPr>
      <w:r>
        <w:object w:dxaOrig="1504" w:dyaOrig="982" w14:anchorId="2978951B">
          <v:shape id="_x0000_i1027" type="#_x0000_t75" style="width:75pt;height:49pt" o:ole="">
            <v:imagedata r:id="rId15" o:title=""/>
          </v:shape>
          <o:OLEObject Type="Embed" ProgID="Excel.Sheet.12" ShapeID="_x0000_i1027" DrawAspect="Icon" ObjectID="_1676186266" r:id="rId16"/>
        </w:object>
      </w:r>
    </w:p>
    <w:p w14:paraId="0535CE90" w14:textId="77777777" w:rsidR="003E4980" w:rsidRDefault="003E4980" w:rsidP="00061555">
      <w:pPr>
        <w:spacing w:line="240" w:lineRule="auto"/>
        <w:jc w:val="both"/>
        <w:rPr>
          <w:b/>
        </w:rPr>
      </w:pPr>
    </w:p>
    <w:p w14:paraId="7C421B89" w14:textId="77777777" w:rsidR="00D7625A" w:rsidRDefault="00804F24" w:rsidP="00061555">
      <w:pPr>
        <w:spacing w:line="240" w:lineRule="auto"/>
        <w:jc w:val="both"/>
        <w:rPr>
          <w:b/>
        </w:rPr>
      </w:pPr>
      <w:r>
        <w:rPr>
          <w:b/>
        </w:rPr>
        <w:t>Annex B – Flow Chart</w:t>
      </w:r>
    </w:p>
    <w:p w14:paraId="0F2763F0" w14:textId="77777777" w:rsidR="00D7625A" w:rsidRPr="00D7625A" w:rsidRDefault="00804F24" w:rsidP="00061555">
      <w:pPr>
        <w:spacing w:line="240" w:lineRule="auto"/>
        <w:jc w:val="both"/>
      </w:pPr>
      <w:r>
        <w:rPr>
          <w:b/>
        </w:rPr>
        <w:t xml:space="preserve"> </w:t>
      </w:r>
      <w:r w:rsidR="00D7625A">
        <w:object w:dxaOrig="1504" w:dyaOrig="982" w14:anchorId="11FCECBA">
          <v:shape id="_x0000_i1028" type="#_x0000_t75" style="width:75pt;height:49pt" o:ole="">
            <v:imagedata r:id="rId17" o:title=""/>
          </v:shape>
          <o:OLEObject Type="Embed" ProgID="PowerPoint.Show.12" ShapeID="_x0000_i1028" DrawAspect="Icon" ObjectID="_1676186267" r:id="rId18"/>
        </w:object>
      </w:r>
    </w:p>
    <w:p w14:paraId="7531A9C1" w14:textId="77777777" w:rsidR="003E4980" w:rsidRDefault="003E4980" w:rsidP="00061555">
      <w:pPr>
        <w:spacing w:line="240" w:lineRule="auto"/>
        <w:jc w:val="both"/>
        <w:rPr>
          <w:b/>
        </w:rPr>
      </w:pPr>
    </w:p>
    <w:p w14:paraId="0D4A3A77" w14:textId="332D8452" w:rsidR="0002422E" w:rsidRDefault="0002422E" w:rsidP="00061555">
      <w:pPr>
        <w:spacing w:line="240" w:lineRule="auto"/>
        <w:jc w:val="both"/>
        <w:rPr>
          <w:b/>
        </w:rPr>
      </w:pPr>
      <w:r>
        <w:rPr>
          <w:b/>
        </w:rPr>
        <w:t xml:space="preserve">Annex C – Winter Regime Review </w:t>
      </w:r>
      <w:r w:rsidR="007D6B23">
        <w:rPr>
          <w:b/>
        </w:rPr>
        <w:t>Table</w:t>
      </w:r>
      <w:r w:rsidR="00D7625A">
        <w:rPr>
          <w:b/>
        </w:rPr>
        <w:t>:</w:t>
      </w:r>
    </w:p>
    <w:p w14:paraId="73B1A9B0" w14:textId="77777777" w:rsidR="00D15EB7" w:rsidRPr="003E4980" w:rsidRDefault="001624B3" w:rsidP="003E4980">
      <w:pPr>
        <w:rPr>
          <w:b/>
        </w:rPr>
      </w:pPr>
      <w:r w:rsidRPr="001624B3">
        <w:t>The table</w:t>
      </w:r>
      <w:r>
        <w:t xml:space="preserve"> summarises changes made to EDMs following the Winter Regime Review</w:t>
      </w:r>
      <w:r w:rsidR="009B5004">
        <w:t xml:space="preserve"> (Oct 20):</w:t>
      </w:r>
    </w:p>
    <w:tbl>
      <w:tblPr>
        <w:tblW w:w="0" w:type="auto"/>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1126"/>
        <w:gridCol w:w="7764"/>
      </w:tblGrid>
      <w:tr w:rsidR="00384890" w:rsidRPr="00CC5A5E" w14:paraId="6C56116E" w14:textId="77777777" w:rsidTr="009B5004">
        <w:tc>
          <w:tcPr>
            <w:tcW w:w="1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C7C991" w14:textId="77777777" w:rsidR="00384890" w:rsidRPr="00CC5A5E" w:rsidRDefault="00384890" w:rsidP="00061555">
            <w:pPr>
              <w:spacing w:line="240" w:lineRule="auto"/>
              <w:jc w:val="both"/>
              <w:textAlignment w:val="baseline"/>
              <w:rPr>
                <w:rFonts w:cs="Times New Roman"/>
                <w:lang w:eastAsia="en-GB"/>
              </w:rPr>
            </w:pPr>
            <w:r w:rsidRPr="00CC5A5E">
              <w:rPr>
                <w:rFonts w:cs="Arial"/>
                <w:b/>
                <w:bCs/>
                <w:lang w:eastAsia="en-GB"/>
              </w:rPr>
              <w:t>EDM</w:t>
            </w:r>
            <w:r w:rsidRPr="00CC5A5E">
              <w:rPr>
                <w:rFonts w:cs="Arial"/>
                <w:lang w:eastAsia="en-GB"/>
              </w:rPr>
              <w:t> </w:t>
            </w:r>
          </w:p>
        </w:tc>
        <w:tc>
          <w:tcPr>
            <w:tcW w:w="7764"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14:paraId="688C6044" w14:textId="77777777" w:rsidR="00384890" w:rsidRPr="001624B3" w:rsidRDefault="00384890" w:rsidP="00061555">
            <w:pPr>
              <w:spacing w:line="240" w:lineRule="auto"/>
              <w:jc w:val="both"/>
              <w:textAlignment w:val="baseline"/>
              <w:rPr>
                <w:b/>
                <w:lang w:eastAsia="en-GB"/>
              </w:rPr>
            </w:pPr>
            <w:r w:rsidRPr="00CC5A5E">
              <w:rPr>
                <w:rFonts w:cs="Arial"/>
                <w:b/>
                <w:bCs/>
                <w:lang w:eastAsia="en-GB"/>
              </w:rPr>
              <w:t>Summary of change</w:t>
            </w:r>
            <w:r w:rsidR="001624B3">
              <w:rPr>
                <w:rFonts w:cs="Arial"/>
                <w:b/>
                <w:lang w:eastAsia="en-GB"/>
              </w:rPr>
              <w:t>s</w:t>
            </w:r>
          </w:p>
        </w:tc>
      </w:tr>
      <w:tr w:rsidR="00384890" w:rsidRPr="00CC5A5E" w14:paraId="274F85F0" w14:textId="77777777" w:rsidTr="009B5004">
        <w:tc>
          <w:tcPr>
            <w:tcW w:w="1126"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3CE79C0D" w14:textId="77777777" w:rsidR="00384890" w:rsidRPr="00CC5A5E" w:rsidRDefault="00384890" w:rsidP="00061555">
            <w:pPr>
              <w:spacing w:line="240" w:lineRule="auto"/>
              <w:jc w:val="both"/>
              <w:textAlignment w:val="baseline"/>
              <w:rPr>
                <w:lang w:eastAsia="en-GB"/>
              </w:rPr>
            </w:pPr>
            <w:r w:rsidRPr="00CC5A5E">
              <w:rPr>
                <w:rFonts w:cs="Arial"/>
                <w:lang w:eastAsia="en-GB"/>
              </w:rPr>
              <w:t>Social Visits </w:t>
            </w:r>
          </w:p>
        </w:tc>
        <w:tc>
          <w:tcPr>
            <w:tcW w:w="7764" w:type="dxa"/>
            <w:tcBorders>
              <w:top w:val="nil"/>
              <w:left w:val="nil"/>
              <w:bottom w:val="single" w:sz="6" w:space="0" w:color="auto"/>
              <w:right w:val="single" w:sz="6" w:space="0" w:color="auto"/>
            </w:tcBorders>
            <w:tcMar>
              <w:top w:w="15" w:type="dxa"/>
              <w:left w:w="15" w:type="dxa"/>
              <w:bottom w:w="15" w:type="dxa"/>
              <w:right w:w="15" w:type="dxa"/>
            </w:tcMar>
            <w:hideMark/>
          </w:tcPr>
          <w:p w14:paraId="1C5A7890" w14:textId="0FF02635" w:rsidR="00384890" w:rsidRDefault="00384890" w:rsidP="00061555">
            <w:pPr>
              <w:spacing w:line="240" w:lineRule="auto"/>
              <w:jc w:val="both"/>
              <w:textAlignment w:val="baseline"/>
              <w:rPr>
                <w:rFonts w:cs="Arial"/>
                <w:lang w:eastAsia="en-GB"/>
              </w:rPr>
            </w:pPr>
            <w:r w:rsidRPr="00CC5A5E">
              <w:rPr>
                <w:rFonts w:cs="Arial"/>
                <w:lang w:eastAsia="en-GB"/>
              </w:rPr>
              <w:t xml:space="preserve">This has been amended to include direct reference to the restarting of limited family support services. This should be in line with current external </w:t>
            </w:r>
            <w:r w:rsidR="00433DFE" w:rsidRPr="00CC5A5E">
              <w:rPr>
                <w:rFonts w:cs="Arial"/>
                <w:lang w:eastAsia="en-GB"/>
              </w:rPr>
              <w:t>visitors’</w:t>
            </w:r>
            <w:r w:rsidRPr="00CC5A5E">
              <w:rPr>
                <w:rFonts w:cs="Arial"/>
                <w:lang w:eastAsia="en-GB"/>
              </w:rPr>
              <w:t xml:space="preserve"> guidance, fully risk </w:t>
            </w:r>
            <w:r w:rsidRPr="00CC5A5E">
              <w:rPr>
                <w:rFonts w:cs="Arial"/>
                <w:lang w:eastAsia="en-GB"/>
              </w:rPr>
              <w:lastRenderedPageBreak/>
              <w:t xml:space="preserve">assessed and consulted with recognised Trade Unions and local Health and Justice colleagues </w:t>
            </w:r>
            <w:r>
              <w:rPr>
                <w:rFonts w:cs="Arial"/>
                <w:lang w:eastAsia="en-GB"/>
              </w:rPr>
              <w:t>as well as the service provider.</w:t>
            </w:r>
          </w:p>
          <w:p w14:paraId="55CFFDFC" w14:textId="77777777" w:rsidR="00384890" w:rsidRPr="00CC5A5E" w:rsidRDefault="00384890" w:rsidP="00061555">
            <w:pPr>
              <w:spacing w:line="240" w:lineRule="auto"/>
              <w:jc w:val="both"/>
              <w:textAlignment w:val="baseline"/>
              <w:rPr>
                <w:lang w:eastAsia="en-GB"/>
              </w:rPr>
            </w:pPr>
            <w:r>
              <w:rPr>
                <w:rFonts w:cs="Arial"/>
                <w:lang w:eastAsia="en-GB"/>
              </w:rPr>
              <w:t xml:space="preserve">Covered within a Gold briefing issued, and therefore the EDM has not been re-published. </w:t>
            </w:r>
            <w:r w:rsidRPr="00CC5A5E">
              <w:rPr>
                <w:rFonts w:cs="Arial"/>
                <w:lang w:eastAsia="en-GB"/>
              </w:rPr>
              <w:t> </w:t>
            </w:r>
          </w:p>
        </w:tc>
      </w:tr>
      <w:tr w:rsidR="00384890" w:rsidRPr="00CC5A5E" w14:paraId="0F875252" w14:textId="77777777" w:rsidTr="009B5004">
        <w:tc>
          <w:tcPr>
            <w:tcW w:w="1126"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30D2166A" w14:textId="77777777" w:rsidR="00384890" w:rsidRPr="00CC5A5E" w:rsidRDefault="00384890" w:rsidP="00061555">
            <w:pPr>
              <w:spacing w:line="240" w:lineRule="auto"/>
              <w:jc w:val="both"/>
              <w:textAlignment w:val="baseline"/>
              <w:rPr>
                <w:rFonts w:cs="Arial"/>
                <w:lang w:eastAsia="en-GB"/>
              </w:rPr>
            </w:pPr>
            <w:r w:rsidRPr="00CC5A5E">
              <w:rPr>
                <w:rFonts w:cs="Arial"/>
                <w:lang w:eastAsia="en-GB"/>
              </w:rPr>
              <w:lastRenderedPageBreak/>
              <w:t>OBP</w:t>
            </w:r>
          </w:p>
        </w:tc>
        <w:tc>
          <w:tcPr>
            <w:tcW w:w="7764" w:type="dxa"/>
            <w:tcBorders>
              <w:top w:val="nil"/>
              <w:left w:val="nil"/>
              <w:bottom w:val="single" w:sz="6" w:space="0" w:color="auto"/>
              <w:right w:val="single" w:sz="6" w:space="0" w:color="auto"/>
            </w:tcBorders>
            <w:tcMar>
              <w:top w:w="15" w:type="dxa"/>
              <w:left w:w="15" w:type="dxa"/>
              <w:bottom w:w="15" w:type="dxa"/>
              <w:right w:w="15" w:type="dxa"/>
            </w:tcMar>
            <w:hideMark/>
          </w:tcPr>
          <w:p w14:paraId="06B2AC44" w14:textId="77777777" w:rsidR="00384890" w:rsidRPr="00CC5A5E" w:rsidRDefault="00384890" w:rsidP="00061555">
            <w:pPr>
              <w:spacing w:line="240" w:lineRule="auto"/>
              <w:jc w:val="both"/>
              <w:textAlignment w:val="baseline"/>
              <w:rPr>
                <w:rFonts w:cs="Arial"/>
                <w:lang w:eastAsia="en-GB"/>
              </w:rPr>
            </w:pPr>
            <w:r w:rsidRPr="00CC5A5E">
              <w:rPr>
                <w:rFonts w:cs="Arial"/>
                <w:lang w:eastAsia="en-GB"/>
              </w:rPr>
              <w:t>Remove</w:t>
            </w:r>
            <w:r w:rsidR="00BF48BD">
              <w:rPr>
                <w:rFonts w:cs="Arial"/>
                <w:lang w:eastAsia="en-GB"/>
              </w:rPr>
              <w:t>s</w:t>
            </w:r>
            <w:r w:rsidRPr="00CC5A5E">
              <w:rPr>
                <w:rFonts w:cs="Arial"/>
                <w:lang w:eastAsia="en-GB"/>
              </w:rPr>
              <w:t xml:space="preserve"> the block on transfers for the purposes of OBPs. Transfers should go through PMU in line with current guidance.</w:t>
            </w:r>
          </w:p>
        </w:tc>
      </w:tr>
      <w:tr w:rsidR="00384890" w:rsidRPr="00CC5A5E" w14:paraId="6810B310" w14:textId="77777777" w:rsidTr="009B5004">
        <w:tc>
          <w:tcPr>
            <w:tcW w:w="1126"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556DCE4F" w14:textId="77777777" w:rsidR="00384890" w:rsidRPr="00CC5A5E" w:rsidRDefault="00384890" w:rsidP="00061555">
            <w:pPr>
              <w:spacing w:line="240" w:lineRule="auto"/>
              <w:jc w:val="both"/>
              <w:textAlignment w:val="baseline"/>
              <w:rPr>
                <w:rFonts w:cs="Times New Roman"/>
                <w:lang w:eastAsia="en-GB"/>
              </w:rPr>
            </w:pPr>
            <w:r w:rsidRPr="00CC5A5E">
              <w:rPr>
                <w:rFonts w:cs="Arial"/>
                <w:lang w:eastAsia="en-GB"/>
              </w:rPr>
              <w:t>OMU </w:t>
            </w:r>
          </w:p>
        </w:tc>
        <w:tc>
          <w:tcPr>
            <w:tcW w:w="7764" w:type="dxa"/>
            <w:tcBorders>
              <w:top w:val="nil"/>
              <w:left w:val="nil"/>
              <w:bottom w:val="single" w:sz="6" w:space="0" w:color="auto"/>
              <w:right w:val="single" w:sz="6" w:space="0" w:color="auto"/>
            </w:tcBorders>
            <w:tcMar>
              <w:top w:w="15" w:type="dxa"/>
              <w:left w:w="15" w:type="dxa"/>
              <w:bottom w:w="15" w:type="dxa"/>
              <w:right w:w="15" w:type="dxa"/>
            </w:tcMar>
            <w:hideMark/>
          </w:tcPr>
          <w:p w14:paraId="70908137" w14:textId="77777777" w:rsidR="00384890" w:rsidRDefault="00384890" w:rsidP="00061555">
            <w:pPr>
              <w:spacing w:line="240" w:lineRule="auto"/>
              <w:jc w:val="both"/>
              <w:textAlignment w:val="baseline"/>
              <w:rPr>
                <w:rFonts w:cs="Arial"/>
                <w:lang w:eastAsia="en-GB"/>
              </w:rPr>
            </w:pPr>
            <w:r w:rsidRPr="00CC5A5E">
              <w:rPr>
                <w:rFonts w:cs="Arial"/>
                <w:lang w:eastAsia="en-GB"/>
              </w:rPr>
              <w:t>In line with external visitors’ guidance and 1:1 interviewing guidance, an explicit note that Through the Gate Services can be restarted. These must be fully risk assessed and consulted with recognised Trade Unions and local Health and Justice colleagues as well as the service provider. </w:t>
            </w:r>
          </w:p>
          <w:p w14:paraId="72BA16FC" w14:textId="77777777" w:rsidR="00384890" w:rsidRPr="00CC5A5E" w:rsidRDefault="00384890" w:rsidP="00061555">
            <w:pPr>
              <w:spacing w:line="240" w:lineRule="auto"/>
              <w:jc w:val="both"/>
              <w:textAlignment w:val="baseline"/>
              <w:rPr>
                <w:lang w:eastAsia="en-GB"/>
              </w:rPr>
            </w:pPr>
            <w:r>
              <w:rPr>
                <w:rFonts w:cs="Arial"/>
                <w:lang w:eastAsia="en-GB"/>
              </w:rPr>
              <w:t xml:space="preserve">All changes have been encompassed in the newly published keywork EDM. </w:t>
            </w:r>
          </w:p>
        </w:tc>
      </w:tr>
      <w:tr w:rsidR="00384890" w:rsidRPr="00CC5A5E" w14:paraId="0EF80680" w14:textId="77777777" w:rsidTr="009B5004">
        <w:tc>
          <w:tcPr>
            <w:tcW w:w="1126"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63B24DD8" w14:textId="77777777" w:rsidR="00384890" w:rsidRPr="00CC5A5E" w:rsidRDefault="00384890" w:rsidP="00061555">
            <w:pPr>
              <w:spacing w:line="240" w:lineRule="auto"/>
              <w:jc w:val="both"/>
              <w:textAlignment w:val="baseline"/>
              <w:rPr>
                <w:lang w:eastAsia="en-GB"/>
              </w:rPr>
            </w:pPr>
            <w:r w:rsidRPr="00CC5A5E">
              <w:rPr>
                <w:rFonts w:cs="Arial"/>
                <w:lang w:eastAsia="en-GB"/>
              </w:rPr>
              <w:t>Education </w:t>
            </w:r>
          </w:p>
        </w:tc>
        <w:tc>
          <w:tcPr>
            <w:tcW w:w="7764" w:type="dxa"/>
            <w:tcBorders>
              <w:top w:val="nil"/>
              <w:left w:val="nil"/>
              <w:bottom w:val="single" w:sz="6" w:space="0" w:color="auto"/>
              <w:right w:val="single" w:sz="6" w:space="0" w:color="auto"/>
            </w:tcBorders>
            <w:tcMar>
              <w:top w:w="15" w:type="dxa"/>
              <w:left w:w="15" w:type="dxa"/>
              <w:bottom w:w="15" w:type="dxa"/>
              <w:right w:w="15" w:type="dxa"/>
            </w:tcMar>
            <w:hideMark/>
          </w:tcPr>
          <w:p w14:paraId="4A6139ED" w14:textId="77777777" w:rsidR="00384890" w:rsidRPr="00CC5A5E" w:rsidRDefault="00384890" w:rsidP="00061555">
            <w:pPr>
              <w:spacing w:line="240" w:lineRule="auto"/>
              <w:jc w:val="both"/>
              <w:textAlignment w:val="baseline"/>
              <w:rPr>
                <w:lang w:eastAsia="en-GB"/>
              </w:rPr>
            </w:pPr>
            <w:r w:rsidRPr="00CC5A5E">
              <w:rPr>
                <w:rFonts w:cs="Arial"/>
                <w:lang w:eastAsia="en-GB"/>
              </w:rPr>
              <w:t xml:space="preserve">Reflecting the precedent set within the OBP EDM, amend to include provision for 1-1 interview and heavily caveated small group work to facilitate limited classroom-based activity. </w:t>
            </w:r>
            <w:r w:rsidRPr="00CC5A5E">
              <w:rPr>
                <w:rFonts w:cs="Arial"/>
                <w:color w:val="000000"/>
              </w:rPr>
              <w:t xml:space="preserve">Small group working as an option needs to be risk assessed locally and should only be done with the same residents from the same cohort and the same staff (i.e. they must be from the same unit/wing and not from different areas of the </w:t>
            </w:r>
            <w:r w:rsidRPr="00CC5A5E">
              <w:rPr>
                <w:rFonts w:cs="Arial"/>
              </w:rPr>
              <w:t>establishment</w:t>
            </w:r>
            <w:r w:rsidRPr="00CC5A5E">
              <w:rPr>
                <w:rFonts w:cs="Arial"/>
                <w:color w:val="000000"/>
              </w:rPr>
              <w:t xml:space="preserve">). </w:t>
            </w:r>
            <w:r w:rsidRPr="00CC5A5E">
              <w:rPr>
                <w:rFonts w:cs="Arial"/>
                <w:lang w:eastAsia="en-GB"/>
              </w:rPr>
              <w:t xml:space="preserve"> Risk assessed access to library could also be considered so that it is consistent with what is allowed in the community.</w:t>
            </w:r>
          </w:p>
        </w:tc>
      </w:tr>
      <w:tr w:rsidR="00384890" w:rsidRPr="00CC5A5E" w14:paraId="322EAD62" w14:textId="77777777" w:rsidTr="009B5004">
        <w:tc>
          <w:tcPr>
            <w:tcW w:w="1126"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5C1E2853" w14:textId="77777777" w:rsidR="00384890" w:rsidRPr="00CC5A5E" w:rsidRDefault="00384890" w:rsidP="00061555">
            <w:pPr>
              <w:spacing w:line="240" w:lineRule="auto"/>
              <w:jc w:val="both"/>
              <w:textAlignment w:val="baseline"/>
              <w:rPr>
                <w:rFonts w:cs="Arial"/>
                <w:lang w:eastAsia="en-GB"/>
              </w:rPr>
            </w:pPr>
            <w:r w:rsidRPr="00CC5A5E">
              <w:rPr>
                <w:rFonts w:cs="Arial"/>
                <w:lang w:eastAsia="en-GB"/>
              </w:rPr>
              <w:t>Safety </w:t>
            </w:r>
          </w:p>
        </w:tc>
        <w:tc>
          <w:tcPr>
            <w:tcW w:w="7764" w:type="dxa"/>
            <w:tcBorders>
              <w:top w:val="nil"/>
              <w:left w:val="nil"/>
              <w:bottom w:val="single" w:sz="6" w:space="0" w:color="auto"/>
              <w:right w:val="single" w:sz="6" w:space="0" w:color="auto"/>
            </w:tcBorders>
            <w:tcMar>
              <w:top w:w="15" w:type="dxa"/>
              <w:left w:w="15" w:type="dxa"/>
              <w:bottom w:w="15" w:type="dxa"/>
              <w:right w:w="15" w:type="dxa"/>
            </w:tcMar>
            <w:hideMark/>
          </w:tcPr>
          <w:p w14:paraId="0BFDF177" w14:textId="77777777" w:rsidR="00384890" w:rsidRDefault="00384890" w:rsidP="00061555">
            <w:pPr>
              <w:spacing w:line="240" w:lineRule="auto"/>
              <w:jc w:val="both"/>
              <w:textAlignment w:val="baseline"/>
              <w:rPr>
                <w:rFonts w:cs="Arial"/>
                <w:lang w:eastAsia="en-GB"/>
              </w:rPr>
            </w:pPr>
            <w:r w:rsidRPr="00CC5A5E">
              <w:rPr>
                <w:rFonts w:cs="Arial"/>
                <w:lang w:eastAsia="en-GB"/>
              </w:rPr>
              <w:t>In line with external visitors’ guidance and safe 1:1 interviewing guidance, to note that establishments can restart Samaritans support for Listeners. This must be fully risk assessed and consulted on with recognised Trade Unions, Health and Justice coll</w:t>
            </w:r>
            <w:r>
              <w:rPr>
                <w:rFonts w:cs="Arial"/>
                <w:lang w:eastAsia="en-GB"/>
              </w:rPr>
              <w:t xml:space="preserve">eagues and the service provider. </w:t>
            </w:r>
          </w:p>
          <w:p w14:paraId="282518A1" w14:textId="77777777" w:rsidR="00384890" w:rsidRPr="00CC5A5E" w:rsidRDefault="00384890" w:rsidP="00061555">
            <w:pPr>
              <w:spacing w:line="240" w:lineRule="auto"/>
              <w:jc w:val="both"/>
              <w:textAlignment w:val="baseline"/>
              <w:rPr>
                <w:rFonts w:cs="Arial"/>
                <w:lang w:eastAsia="en-GB"/>
              </w:rPr>
            </w:pPr>
            <w:r>
              <w:rPr>
                <w:rFonts w:cs="Arial"/>
                <w:lang w:eastAsia="en-GB"/>
              </w:rPr>
              <w:t xml:space="preserve">Covered within updated Cross Site Working Guidance. </w:t>
            </w:r>
          </w:p>
        </w:tc>
      </w:tr>
      <w:tr w:rsidR="00384890" w:rsidRPr="00CC5A5E" w14:paraId="5DF7A9DB" w14:textId="77777777" w:rsidTr="009B5004">
        <w:trPr>
          <w:trHeight w:val="1727"/>
        </w:trPr>
        <w:tc>
          <w:tcPr>
            <w:tcW w:w="1126"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43BE5AB9" w14:textId="77777777" w:rsidR="00384890" w:rsidRPr="00CC5A5E" w:rsidRDefault="00384890" w:rsidP="00061555">
            <w:pPr>
              <w:spacing w:line="240" w:lineRule="auto"/>
              <w:jc w:val="both"/>
              <w:textAlignment w:val="baseline"/>
              <w:rPr>
                <w:rFonts w:cs="Arial"/>
                <w:lang w:eastAsia="en-GB"/>
              </w:rPr>
            </w:pPr>
            <w:r w:rsidRPr="00CC5A5E">
              <w:rPr>
                <w:rFonts w:cs="Arial"/>
                <w:lang w:eastAsia="en-GB"/>
              </w:rPr>
              <w:t>Physical Education </w:t>
            </w:r>
          </w:p>
        </w:tc>
        <w:tc>
          <w:tcPr>
            <w:tcW w:w="7764" w:type="dxa"/>
            <w:tcBorders>
              <w:top w:val="nil"/>
              <w:left w:val="nil"/>
              <w:bottom w:val="single" w:sz="6" w:space="0" w:color="auto"/>
              <w:right w:val="single" w:sz="6" w:space="0" w:color="auto"/>
            </w:tcBorders>
            <w:tcMar>
              <w:top w:w="15" w:type="dxa"/>
              <w:left w:w="15" w:type="dxa"/>
              <w:bottom w:w="15" w:type="dxa"/>
              <w:right w:w="15" w:type="dxa"/>
            </w:tcMar>
            <w:hideMark/>
          </w:tcPr>
          <w:p w14:paraId="78AB480A" w14:textId="77777777" w:rsidR="00384890" w:rsidRPr="008736EE" w:rsidRDefault="00384890" w:rsidP="00061555">
            <w:pPr>
              <w:spacing w:line="240" w:lineRule="auto"/>
              <w:jc w:val="both"/>
              <w:textAlignment w:val="baseline"/>
              <w:rPr>
                <w:rFonts w:cs="Arial"/>
              </w:rPr>
            </w:pPr>
            <w:r w:rsidRPr="00CC5A5E">
              <w:rPr>
                <w:rFonts w:cs="Arial"/>
                <w:lang w:eastAsia="en-GB"/>
              </w:rPr>
              <w:t>Reflecting the precedent set within the OBP EDM, amend to include provision for 1-1 interview and heavily caveated small group work to facilitate classroom-based PE. </w:t>
            </w:r>
            <w:r w:rsidRPr="00CC5A5E">
              <w:rPr>
                <w:rFonts w:cs="Arial"/>
                <w:color w:val="000000"/>
              </w:rPr>
              <w:t xml:space="preserve">Small group working as an option needs to be risk assessed locally and should only be done with the same residents from the same cohort and the same staff (i.e. they must be from the same unit/wing and not from different areas of the </w:t>
            </w:r>
            <w:r w:rsidRPr="00CC5A5E">
              <w:rPr>
                <w:rFonts w:cs="Arial"/>
              </w:rPr>
              <w:t>establishment</w:t>
            </w:r>
            <w:r>
              <w:rPr>
                <w:rFonts w:cs="Arial"/>
              </w:rPr>
              <w:t>.</w:t>
            </w:r>
          </w:p>
        </w:tc>
      </w:tr>
      <w:tr w:rsidR="00384890" w:rsidRPr="00CC5A5E" w14:paraId="3A1DFC0A" w14:textId="77777777" w:rsidTr="009B5004">
        <w:tc>
          <w:tcPr>
            <w:tcW w:w="1126"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013C2B14" w14:textId="77777777" w:rsidR="00384890" w:rsidRPr="00CC5A5E" w:rsidRDefault="00384890" w:rsidP="00061555">
            <w:pPr>
              <w:spacing w:line="240" w:lineRule="auto"/>
              <w:jc w:val="both"/>
              <w:textAlignment w:val="baseline"/>
              <w:rPr>
                <w:rFonts w:cs="Arial"/>
                <w:lang w:eastAsia="en-GB"/>
              </w:rPr>
            </w:pPr>
            <w:r w:rsidRPr="00CC5A5E">
              <w:rPr>
                <w:rFonts w:cs="Arial"/>
                <w:lang w:eastAsia="en-GB"/>
              </w:rPr>
              <w:t>Industries</w:t>
            </w:r>
          </w:p>
        </w:tc>
        <w:tc>
          <w:tcPr>
            <w:tcW w:w="7764" w:type="dxa"/>
            <w:tcBorders>
              <w:top w:val="nil"/>
              <w:left w:val="nil"/>
              <w:bottom w:val="single" w:sz="6" w:space="0" w:color="auto"/>
              <w:right w:val="single" w:sz="6" w:space="0" w:color="auto"/>
            </w:tcBorders>
            <w:tcMar>
              <w:top w:w="15" w:type="dxa"/>
              <w:left w:w="15" w:type="dxa"/>
              <w:bottom w:w="15" w:type="dxa"/>
              <w:right w:w="15" w:type="dxa"/>
            </w:tcMar>
            <w:hideMark/>
          </w:tcPr>
          <w:p w14:paraId="7C4D3CAF" w14:textId="77777777" w:rsidR="00384890" w:rsidRPr="00CC5A5E" w:rsidRDefault="00384890" w:rsidP="00061555">
            <w:pPr>
              <w:spacing w:line="240" w:lineRule="auto"/>
              <w:jc w:val="both"/>
              <w:textAlignment w:val="baseline"/>
              <w:rPr>
                <w:rFonts w:cs="Arial"/>
                <w:lang w:eastAsia="en-GB"/>
              </w:rPr>
            </w:pPr>
            <w:r w:rsidRPr="00CC5A5E">
              <w:rPr>
                <w:rFonts w:cs="Arial"/>
                <w:lang w:eastAsia="en-GB"/>
              </w:rPr>
              <w:t>Updated PSPI / NFN list of priority workshops</w:t>
            </w:r>
            <w:r>
              <w:rPr>
                <w:rFonts w:cs="Arial"/>
                <w:lang w:eastAsia="en-GB"/>
              </w:rPr>
              <w:t>.</w:t>
            </w:r>
          </w:p>
        </w:tc>
      </w:tr>
      <w:tr w:rsidR="00384890" w:rsidRPr="00CC5A5E" w14:paraId="1C2D332F" w14:textId="77777777" w:rsidTr="009B5004">
        <w:tc>
          <w:tcPr>
            <w:tcW w:w="1126" w:type="dxa"/>
            <w:tcBorders>
              <w:top w:val="nil"/>
              <w:left w:val="single" w:sz="6" w:space="0" w:color="auto"/>
              <w:bottom w:val="single" w:sz="6" w:space="0" w:color="auto"/>
              <w:right w:val="single" w:sz="6" w:space="0" w:color="auto"/>
            </w:tcBorders>
            <w:tcMar>
              <w:top w:w="15" w:type="dxa"/>
              <w:left w:w="15" w:type="dxa"/>
              <w:bottom w:w="15" w:type="dxa"/>
              <w:right w:w="15" w:type="dxa"/>
            </w:tcMar>
          </w:tcPr>
          <w:p w14:paraId="2B5AD165" w14:textId="77777777" w:rsidR="00384890" w:rsidRPr="00CC5A5E" w:rsidRDefault="00384890" w:rsidP="00061555">
            <w:pPr>
              <w:spacing w:line="240" w:lineRule="auto"/>
              <w:jc w:val="both"/>
              <w:textAlignment w:val="baseline"/>
              <w:rPr>
                <w:rFonts w:cs="Arial"/>
                <w:lang w:eastAsia="en-GB"/>
              </w:rPr>
            </w:pPr>
            <w:r w:rsidRPr="00CC5A5E">
              <w:rPr>
                <w:rFonts w:cs="Arial"/>
                <w:lang w:eastAsia="en-GB"/>
              </w:rPr>
              <w:t>ROTL</w:t>
            </w:r>
          </w:p>
        </w:tc>
        <w:tc>
          <w:tcPr>
            <w:tcW w:w="7764" w:type="dxa"/>
            <w:tcBorders>
              <w:top w:val="nil"/>
              <w:left w:val="nil"/>
              <w:bottom w:val="single" w:sz="6" w:space="0" w:color="auto"/>
              <w:right w:val="single" w:sz="6" w:space="0" w:color="auto"/>
            </w:tcBorders>
            <w:tcMar>
              <w:top w:w="15" w:type="dxa"/>
              <w:left w:w="15" w:type="dxa"/>
              <w:bottom w:w="15" w:type="dxa"/>
              <w:right w:w="15" w:type="dxa"/>
            </w:tcMar>
          </w:tcPr>
          <w:p w14:paraId="561FC74A" w14:textId="77777777" w:rsidR="00384890" w:rsidRPr="00CC5A5E" w:rsidRDefault="00384890" w:rsidP="00061555">
            <w:pPr>
              <w:spacing w:line="240" w:lineRule="auto"/>
              <w:jc w:val="both"/>
              <w:textAlignment w:val="baseline"/>
              <w:rPr>
                <w:rFonts w:cs="Arial"/>
                <w:lang w:eastAsia="en-GB"/>
              </w:rPr>
            </w:pPr>
            <w:r w:rsidRPr="00CC5A5E">
              <w:rPr>
                <w:rFonts w:cs="Arial"/>
                <w:lang w:eastAsia="en-GB"/>
              </w:rPr>
              <w:t>Resettlement Day Release and Resettlement Overnight Release ROTL to domestic addresses may now be considered by establishments</w:t>
            </w:r>
            <w:r w:rsidR="00C15AC6">
              <w:rPr>
                <w:rFonts w:cs="Arial"/>
                <w:lang w:eastAsia="en-GB"/>
              </w:rPr>
              <w:t xml:space="preserve">, subject to community restrictions. </w:t>
            </w:r>
            <w:r w:rsidRPr="00CC5A5E">
              <w:rPr>
                <w:rFonts w:cs="Arial"/>
                <w:lang w:eastAsia="en-GB"/>
              </w:rPr>
              <w:t>RDR and ROR ROTL to a domestic address cannot be approved from an establishment with a declared Outbreak.</w:t>
            </w:r>
          </w:p>
        </w:tc>
      </w:tr>
      <w:tr w:rsidR="00384890" w:rsidRPr="00CC5A5E" w14:paraId="7E520FAE" w14:textId="77777777" w:rsidTr="003E4980">
        <w:tc>
          <w:tcPr>
            <w:tcW w:w="1126"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0D1148A0" w14:textId="77777777" w:rsidR="00384890" w:rsidRPr="00CC5A5E" w:rsidRDefault="00384890" w:rsidP="009B5004">
            <w:pPr>
              <w:spacing w:line="240" w:lineRule="auto"/>
              <w:textAlignment w:val="baseline"/>
              <w:rPr>
                <w:rFonts w:cs="Arial"/>
                <w:lang w:eastAsia="en-GB"/>
              </w:rPr>
            </w:pPr>
            <w:r w:rsidRPr="00CC5A5E">
              <w:rPr>
                <w:rFonts w:cs="Arial"/>
                <w:lang w:eastAsia="en-GB"/>
              </w:rPr>
              <w:t>YCS Education, PE and Libraries</w:t>
            </w:r>
          </w:p>
        </w:tc>
        <w:tc>
          <w:tcPr>
            <w:tcW w:w="7764" w:type="dxa"/>
            <w:tcBorders>
              <w:top w:val="nil"/>
              <w:left w:val="nil"/>
              <w:bottom w:val="single" w:sz="6" w:space="0" w:color="auto"/>
              <w:right w:val="single" w:sz="6" w:space="0" w:color="auto"/>
            </w:tcBorders>
            <w:tcMar>
              <w:top w:w="15" w:type="dxa"/>
              <w:left w:w="15" w:type="dxa"/>
              <w:bottom w:w="15" w:type="dxa"/>
              <w:right w:w="15" w:type="dxa"/>
            </w:tcMar>
            <w:hideMark/>
          </w:tcPr>
          <w:p w14:paraId="6B1BDE97" w14:textId="77777777" w:rsidR="00384890" w:rsidRPr="00CC5A5E" w:rsidRDefault="00384890" w:rsidP="00061555">
            <w:pPr>
              <w:pStyle w:val="ListParagraph"/>
              <w:numPr>
                <w:ilvl w:val="0"/>
                <w:numId w:val="3"/>
              </w:numPr>
              <w:spacing w:after="160"/>
              <w:contextualSpacing/>
              <w:jc w:val="both"/>
              <w:rPr>
                <w:rFonts w:cs="Arial"/>
              </w:rPr>
            </w:pPr>
            <w:r w:rsidRPr="00CC5A5E">
              <w:rPr>
                <w:rFonts w:cs="Arial"/>
              </w:rPr>
              <w:t>[PE &amp; education] Flexibility on family group mixing and expansions – allow for Children and Young People (CYP) with similar needs to mix, rather than</w:t>
            </w:r>
            <w:r>
              <w:rPr>
                <w:rFonts w:cs="Arial"/>
              </w:rPr>
              <w:t xml:space="preserve"> restricted to one family group </w:t>
            </w:r>
            <w:r w:rsidRPr="00E66E1E">
              <w:t>where this is safe and on the basis of a risk assessment</w:t>
            </w:r>
          </w:p>
          <w:p w14:paraId="2737371A" w14:textId="77777777" w:rsidR="00384890" w:rsidRPr="00CC5A5E" w:rsidRDefault="00384890" w:rsidP="00061555">
            <w:pPr>
              <w:pStyle w:val="ListParagraph"/>
              <w:numPr>
                <w:ilvl w:val="0"/>
                <w:numId w:val="3"/>
              </w:numPr>
              <w:spacing w:after="160"/>
              <w:contextualSpacing/>
              <w:jc w:val="both"/>
              <w:rPr>
                <w:rFonts w:cs="Arial"/>
              </w:rPr>
            </w:pPr>
            <w:r w:rsidRPr="00CC5A5E">
              <w:rPr>
                <w:rFonts w:cs="Arial"/>
              </w:rPr>
              <w:t>[PE] Reintroduction of classroom-based PE activity (first aid, D of E, healthy living courses, etc.)</w:t>
            </w:r>
          </w:p>
          <w:p w14:paraId="0C4997D2" w14:textId="77777777" w:rsidR="00384890" w:rsidRPr="00CC5A5E" w:rsidRDefault="00384890" w:rsidP="00061555">
            <w:pPr>
              <w:pStyle w:val="ListParagraph"/>
              <w:numPr>
                <w:ilvl w:val="0"/>
                <w:numId w:val="4"/>
              </w:numPr>
              <w:spacing w:after="160"/>
              <w:contextualSpacing/>
              <w:jc w:val="both"/>
              <w:rPr>
                <w:rFonts w:cs="Arial"/>
                <w:b/>
              </w:rPr>
            </w:pPr>
            <w:r w:rsidRPr="00CC5A5E">
              <w:rPr>
                <w:rFonts w:cs="Arial"/>
              </w:rPr>
              <w:t>[PE] External partner projects recommencing (Leeds Rhinos, for example) with adherence to local guidance / tier level.</w:t>
            </w:r>
          </w:p>
        </w:tc>
      </w:tr>
      <w:tr w:rsidR="00384890" w:rsidRPr="00CC5A5E" w14:paraId="2F18A56E" w14:textId="77777777" w:rsidTr="003E4980">
        <w:tc>
          <w:tcPr>
            <w:tcW w:w="1126"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2D306F7D" w14:textId="77777777" w:rsidR="00384890" w:rsidRPr="00CC5A5E" w:rsidRDefault="00384890" w:rsidP="009B5004">
            <w:pPr>
              <w:spacing w:line="240" w:lineRule="auto"/>
              <w:textAlignment w:val="baseline"/>
              <w:rPr>
                <w:rFonts w:cs="Arial"/>
                <w:lang w:eastAsia="en-GB"/>
              </w:rPr>
            </w:pPr>
            <w:r w:rsidRPr="00CC5A5E">
              <w:rPr>
                <w:rFonts w:cs="Arial"/>
                <w:lang w:eastAsia="en-GB"/>
              </w:rPr>
              <w:t>YCS CuSP</w:t>
            </w:r>
          </w:p>
        </w:tc>
        <w:tc>
          <w:tcPr>
            <w:tcW w:w="7764" w:type="dxa"/>
            <w:tcBorders>
              <w:top w:val="nil"/>
              <w:left w:val="nil"/>
              <w:bottom w:val="single" w:sz="6" w:space="0" w:color="auto"/>
              <w:right w:val="single" w:sz="6" w:space="0" w:color="auto"/>
            </w:tcBorders>
            <w:tcMar>
              <w:top w:w="15" w:type="dxa"/>
              <w:left w:w="15" w:type="dxa"/>
              <w:bottom w:w="15" w:type="dxa"/>
              <w:right w:w="15" w:type="dxa"/>
            </w:tcMar>
            <w:hideMark/>
          </w:tcPr>
          <w:p w14:paraId="3631C9D4" w14:textId="77777777" w:rsidR="00384890" w:rsidRPr="00CC5A5E" w:rsidRDefault="00384890" w:rsidP="00061555">
            <w:pPr>
              <w:pStyle w:val="ListParagraph"/>
              <w:numPr>
                <w:ilvl w:val="0"/>
                <w:numId w:val="5"/>
              </w:numPr>
              <w:spacing w:after="160"/>
              <w:contextualSpacing/>
              <w:jc w:val="both"/>
              <w:rPr>
                <w:rFonts w:cs="Arial"/>
              </w:rPr>
            </w:pPr>
            <w:r w:rsidRPr="00CC5A5E">
              <w:rPr>
                <w:rFonts w:cs="Arial"/>
              </w:rPr>
              <w:t>Review of CoSP / CuSP delivery table – enabling increased delivery of face-to-face CuSP but maintain flexibility to deliver CoSP where necessary.</w:t>
            </w:r>
          </w:p>
        </w:tc>
      </w:tr>
      <w:tr w:rsidR="00384890" w:rsidRPr="00CC5A5E" w14:paraId="7970DC3D" w14:textId="77777777" w:rsidTr="003E4980">
        <w:tc>
          <w:tcPr>
            <w:tcW w:w="1126"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5F8F3783" w14:textId="77777777" w:rsidR="00384890" w:rsidRPr="00CC5A5E" w:rsidRDefault="00384890" w:rsidP="009B5004">
            <w:pPr>
              <w:spacing w:line="240" w:lineRule="auto"/>
              <w:textAlignment w:val="baseline"/>
              <w:rPr>
                <w:rFonts w:cs="Arial"/>
                <w:lang w:eastAsia="en-GB"/>
              </w:rPr>
            </w:pPr>
            <w:r w:rsidRPr="00CC5A5E">
              <w:rPr>
                <w:rFonts w:cs="Arial"/>
                <w:lang w:eastAsia="en-GB"/>
              </w:rPr>
              <w:lastRenderedPageBreak/>
              <w:t>YCS Approved Interventions</w:t>
            </w:r>
          </w:p>
        </w:tc>
        <w:tc>
          <w:tcPr>
            <w:tcW w:w="7764" w:type="dxa"/>
            <w:tcBorders>
              <w:top w:val="nil"/>
              <w:left w:val="nil"/>
              <w:bottom w:val="single" w:sz="6" w:space="0" w:color="auto"/>
              <w:right w:val="single" w:sz="6" w:space="0" w:color="auto"/>
            </w:tcBorders>
            <w:tcMar>
              <w:top w:w="15" w:type="dxa"/>
              <w:left w:w="15" w:type="dxa"/>
              <w:bottom w:w="15" w:type="dxa"/>
              <w:right w:w="15" w:type="dxa"/>
            </w:tcMar>
            <w:hideMark/>
          </w:tcPr>
          <w:p w14:paraId="14519288" w14:textId="77777777" w:rsidR="00384890" w:rsidRPr="00CC5A5E" w:rsidRDefault="00384890" w:rsidP="00061555">
            <w:pPr>
              <w:pStyle w:val="ListParagraph"/>
              <w:numPr>
                <w:ilvl w:val="0"/>
                <w:numId w:val="3"/>
              </w:numPr>
              <w:spacing w:after="160"/>
              <w:contextualSpacing/>
              <w:jc w:val="both"/>
              <w:rPr>
                <w:rFonts w:cs="Arial"/>
              </w:rPr>
            </w:pPr>
            <w:r w:rsidRPr="00CC5A5E">
              <w:rPr>
                <w:rFonts w:cs="Arial"/>
              </w:rPr>
              <w:t>Flexibility on family groups mixing and expansions – allow for CYP with similar intervention needs to mix, rather than restricted to 1:1 or family groups who may not have the same needs. This must be fully risk assessed and relevant Trade Unions consulted.</w:t>
            </w:r>
          </w:p>
          <w:p w14:paraId="186F1B23" w14:textId="77777777" w:rsidR="00384890" w:rsidRPr="00CC5A5E" w:rsidRDefault="00384890" w:rsidP="00061555">
            <w:pPr>
              <w:pStyle w:val="ListParagraph"/>
              <w:numPr>
                <w:ilvl w:val="0"/>
                <w:numId w:val="3"/>
              </w:numPr>
              <w:spacing w:after="160"/>
              <w:contextualSpacing/>
              <w:jc w:val="both"/>
              <w:rPr>
                <w:rFonts w:cs="Arial"/>
              </w:rPr>
            </w:pPr>
            <w:r w:rsidRPr="00CC5A5E">
              <w:rPr>
                <w:rFonts w:cs="Arial"/>
              </w:rPr>
              <w:t>Removal of psycho-educational worksheets as an intervention delivery</w:t>
            </w:r>
          </w:p>
        </w:tc>
      </w:tr>
    </w:tbl>
    <w:p w14:paraId="79BDF7C8" w14:textId="77777777" w:rsidR="00384890" w:rsidRPr="002A054A" w:rsidRDefault="00384890" w:rsidP="00061555">
      <w:pPr>
        <w:spacing w:line="240" w:lineRule="auto"/>
        <w:jc w:val="both"/>
        <w:rPr>
          <w:b/>
        </w:rPr>
      </w:pPr>
    </w:p>
    <w:p w14:paraId="07D7BBF4" w14:textId="64B46B4F" w:rsidR="007637C3" w:rsidRPr="002A054A" w:rsidRDefault="007637C3" w:rsidP="007637C3">
      <w:pPr>
        <w:spacing w:line="240" w:lineRule="auto"/>
        <w:jc w:val="both"/>
        <w:rPr>
          <w:b/>
        </w:rPr>
      </w:pPr>
      <w:r w:rsidRPr="002A054A">
        <w:rPr>
          <w:b/>
        </w:rPr>
        <w:t xml:space="preserve">Annex D – Regional Union </w:t>
      </w:r>
      <w:r w:rsidR="00433DFE">
        <w:rPr>
          <w:b/>
        </w:rPr>
        <w:t xml:space="preserve">Representatives </w:t>
      </w:r>
    </w:p>
    <w:bookmarkStart w:id="4" w:name="_GoBack"/>
    <w:bookmarkStart w:id="5" w:name="_MON_1676186253"/>
    <w:bookmarkEnd w:id="5"/>
    <w:p w14:paraId="40D5BCAC" w14:textId="159C1C02" w:rsidR="0002422E" w:rsidRPr="00804F24" w:rsidRDefault="00E37AC4" w:rsidP="00061555">
      <w:pPr>
        <w:spacing w:line="240" w:lineRule="auto"/>
        <w:jc w:val="both"/>
        <w:rPr>
          <w:rFonts w:cstheme="minorHAnsi"/>
          <w:b/>
        </w:rPr>
      </w:pPr>
      <w:r>
        <w:object w:dxaOrig="1504" w:dyaOrig="982" w14:anchorId="2905FDCA">
          <v:shape id="_x0000_i1031" type="#_x0000_t75" style="width:75pt;height:49pt" o:ole="">
            <v:imagedata r:id="rId19" o:title=""/>
          </v:shape>
          <o:OLEObject Type="Embed" ProgID="Word.Document.12" ShapeID="_x0000_i1031" DrawAspect="Icon" ObjectID="_1676186268" r:id="rId20">
            <o:FieldCodes>\s</o:FieldCodes>
          </o:OLEObject>
        </w:object>
      </w:r>
      <w:bookmarkEnd w:id="4"/>
    </w:p>
    <w:sectPr w:rsidR="0002422E" w:rsidRPr="00804F24">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C914C" w14:textId="77777777" w:rsidR="001B21C3" w:rsidRDefault="001B21C3" w:rsidP="007D6992">
      <w:pPr>
        <w:spacing w:after="0" w:line="240" w:lineRule="auto"/>
      </w:pPr>
      <w:r>
        <w:separator/>
      </w:r>
    </w:p>
  </w:endnote>
  <w:endnote w:type="continuationSeparator" w:id="0">
    <w:p w14:paraId="1507476F" w14:textId="77777777" w:rsidR="001B21C3" w:rsidRDefault="001B21C3" w:rsidP="007D6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EC04B" w14:textId="77777777" w:rsidR="001B21C3" w:rsidRDefault="001B21C3" w:rsidP="007D6992">
      <w:pPr>
        <w:spacing w:after="0" w:line="240" w:lineRule="auto"/>
      </w:pPr>
      <w:r>
        <w:separator/>
      </w:r>
    </w:p>
  </w:footnote>
  <w:footnote w:type="continuationSeparator" w:id="0">
    <w:p w14:paraId="20F502CF" w14:textId="77777777" w:rsidR="001B21C3" w:rsidRDefault="001B21C3" w:rsidP="007D6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A4FA6" w14:textId="32736F3E" w:rsidR="007D6992" w:rsidRDefault="007D6992">
    <w:pPr>
      <w:pStyle w:val="Header"/>
    </w:pPr>
    <w:r>
      <w:t xml:space="preserve">OFFICIAL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26C"/>
    <w:multiLevelType w:val="hybridMultilevel"/>
    <w:tmpl w:val="653293B6"/>
    <w:lvl w:ilvl="0" w:tplc="FFFFFFFF">
      <w:start w:val="1"/>
      <w:numFmt w:val="decimal"/>
      <w:lvlText w:val="%1."/>
      <w:lvlJc w:val="left"/>
      <w:pPr>
        <w:ind w:left="720" w:hanging="360"/>
      </w:pPr>
    </w:lvl>
    <w:lvl w:ilvl="1" w:tplc="080AD06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E7CAF"/>
    <w:multiLevelType w:val="hybridMultilevel"/>
    <w:tmpl w:val="F2B825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50A8A"/>
    <w:multiLevelType w:val="hybridMultilevel"/>
    <w:tmpl w:val="555AF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EE3C9B"/>
    <w:multiLevelType w:val="hybridMultilevel"/>
    <w:tmpl w:val="829C2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A6261C"/>
    <w:multiLevelType w:val="hybridMultilevel"/>
    <w:tmpl w:val="2D0EE17A"/>
    <w:lvl w:ilvl="0" w:tplc="C3D2FDE4">
      <w:start w:val="1"/>
      <w:numFmt w:val="decimal"/>
      <w:lvlText w:val="%1."/>
      <w:lvlJc w:val="left"/>
      <w:pPr>
        <w:ind w:left="360" w:hanging="360"/>
      </w:pPr>
      <w:rPr>
        <w:rFonts w:ascii="Arial" w:hAnsi="Arial" w:cs="Arial" w:hint="default"/>
        <w:b w:val="0"/>
      </w:rPr>
    </w:lvl>
    <w:lvl w:ilvl="1" w:tplc="92C871FE">
      <w:start w:val="1"/>
      <w:numFmt w:val="lowerRoman"/>
      <w:lvlText w:val="%2."/>
      <w:lvlJc w:val="righ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4111E1"/>
    <w:multiLevelType w:val="hybridMultilevel"/>
    <w:tmpl w:val="12BC2F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5B5C7E"/>
    <w:multiLevelType w:val="hybridMultilevel"/>
    <w:tmpl w:val="32AC8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A167FA"/>
    <w:multiLevelType w:val="hybridMultilevel"/>
    <w:tmpl w:val="8506C2D0"/>
    <w:lvl w:ilvl="0" w:tplc="FBC42014">
      <w:numFmt w:val="bullet"/>
      <w:lvlText w:val="-"/>
      <w:lvlJc w:val="left"/>
      <w:pPr>
        <w:ind w:left="720" w:hanging="360"/>
      </w:pPr>
      <w:rPr>
        <w:rFonts w:ascii="Calibri" w:eastAsia="Calibri" w:hAnsi="Calibri" w:cs="Calibr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11D39AC"/>
    <w:multiLevelType w:val="hybridMultilevel"/>
    <w:tmpl w:val="ED509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3F677F"/>
    <w:multiLevelType w:val="hybridMultilevel"/>
    <w:tmpl w:val="60A8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45D9E"/>
    <w:multiLevelType w:val="hybridMultilevel"/>
    <w:tmpl w:val="DEF629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513" w:hanging="360"/>
      </w:pPr>
      <w:rPr>
        <w:rFonts w:ascii="Courier New" w:hAnsi="Courier New" w:cs="Courier New" w:hint="default"/>
      </w:rPr>
    </w:lvl>
    <w:lvl w:ilvl="2" w:tplc="08090005">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1" w15:restartNumberingAfterBreak="0">
    <w:nsid w:val="581C78F0"/>
    <w:multiLevelType w:val="hybridMultilevel"/>
    <w:tmpl w:val="2108A4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10"/>
  </w:num>
  <w:num w:numId="4">
    <w:abstractNumId w:val="6"/>
  </w:num>
  <w:num w:numId="5">
    <w:abstractNumId w:val="2"/>
  </w:num>
  <w:num w:numId="6">
    <w:abstractNumId w:val="1"/>
  </w:num>
  <w:num w:numId="7">
    <w:abstractNumId w:val="11"/>
  </w:num>
  <w:num w:numId="8">
    <w:abstractNumId w:val="8"/>
  </w:num>
  <w:num w:numId="9">
    <w:abstractNumId w:val="9"/>
  </w:num>
  <w:num w:numId="10">
    <w:abstractNumId w:val="7"/>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74B"/>
    <w:rsid w:val="00014442"/>
    <w:rsid w:val="00014E7B"/>
    <w:rsid w:val="0002422E"/>
    <w:rsid w:val="000417AE"/>
    <w:rsid w:val="00061555"/>
    <w:rsid w:val="00061B84"/>
    <w:rsid w:val="00061E68"/>
    <w:rsid w:val="0006740E"/>
    <w:rsid w:val="000703C4"/>
    <w:rsid w:val="0007124A"/>
    <w:rsid w:val="00084033"/>
    <w:rsid w:val="00091A3C"/>
    <w:rsid w:val="000A3284"/>
    <w:rsid w:val="000C30A6"/>
    <w:rsid w:val="000C6F07"/>
    <w:rsid w:val="000D7033"/>
    <w:rsid w:val="000E4A6B"/>
    <w:rsid w:val="000E76D1"/>
    <w:rsid w:val="001029F2"/>
    <w:rsid w:val="0010733A"/>
    <w:rsid w:val="0011420C"/>
    <w:rsid w:val="00115A39"/>
    <w:rsid w:val="00122D6D"/>
    <w:rsid w:val="00140498"/>
    <w:rsid w:val="00143E24"/>
    <w:rsid w:val="0014640D"/>
    <w:rsid w:val="001624B3"/>
    <w:rsid w:val="001A0AB3"/>
    <w:rsid w:val="001B21C3"/>
    <w:rsid w:val="001C1B1E"/>
    <w:rsid w:val="001C47A9"/>
    <w:rsid w:val="001D207F"/>
    <w:rsid w:val="001D4407"/>
    <w:rsid w:val="001F073A"/>
    <w:rsid w:val="001F4832"/>
    <w:rsid w:val="001F7050"/>
    <w:rsid w:val="002008F6"/>
    <w:rsid w:val="00227E91"/>
    <w:rsid w:val="0023049F"/>
    <w:rsid w:val="002455EA"/>
    <w:rsid w:val="0025598F"/>
    <w:rsid w:val="002622F4"/>
    <w:rsid w:val="002642F4"/>
    <w:rsid w:val="00264FDC"/>
    <w:rsid w:val="002A054A"/>
    <w:rsid w:val="002B23C5"/>
    <w:rsid w:val="002B46BB"/>
    <w:rsid w:val="002C0FF7"/>
    <w:rsid w:val="002C54E2"/>
    <w:rsid w:val="002C624E"/>
    <w:rsid w:val="002E130A"/>
    <w:rsid w:val="002F5226"/>
    <w:rsid w:val="002F631B"/>
    <w:rsid w:val="002F7C92"/>
    <w:rsid w:val="003024E3"/>
    <w:rsid w:val="00304815"/>
    <w:rsid w:val="0030756B"/>
    <w:rsid w:val="00310DFA"/>
    <w:rsid w:val="00312929"/>
    <w:rsid w:val="003247F5"/>
    <w:rsid w:val="00324BC1"/>
    <w:rsid w:val="00350256"/>
    <w:rsid w:val="00360325"/>
    <w:rsid w:val="00360CB6"/>
    <w:rsid w:val="00377634"/>
    <w:rsid w:val="0038339F"/>
    <w:rsid w:val="00384890"/>
    <w:rsid w:val="003C0B75"/>
    <w:rsid w:val="003C33D0"/>
    <w:rsid w:val="003D3E25"/>
    <w:rsid w:val="003E4980"/>
    <w:rsid w:val="003F1816"/>
    <w:rsid w:val="003F48A4"/>
    <w:rsid w:val="00401993"/>
    <w:rsid w:val="00414C3B"/>
    <w:rsid w:val="00417878"/>
    <w:rsid w:val="00433DFE"/>
    <w:rsid w:val="0044141F"/>
    <w:rsid w:val="0044418E"/>
    <w:rsid w:val="00451D47"/>
    <w:rsid w:val="004646FB"/>
    <w:rsid w:val="00466D1C"/>
    <w:rsid w:val="004676B5"/>
    <w:rsid w:val="00487064"/>
    <w:rsid w:val="0049071C"/>
    <w:rsid w:val="004A0472"/>
    <w:rsid w:val="004A1260"/>
    <w:rsid w:val="004B00A7"/>
    <w:rsid w:val="004B68A7"/>
    <w:rsid w:val="004C233C"/>
    <w:rsid w:val="004C424A"/>
    <w:rsid w:val="004C7F3D"/>
    <w:rsid w:val="004D359B"/>
    <w:rsid w:val="004D4A41"/>
    <w:rsid w:val="004E4E4E"/>
    <w:rsid w:val="004F2A75"/>
    <w:rsid w:val="004F7C8B"/>
    <w:rsid w:val="005035D4"/>
    <w:rsid w:val="00505800"/>
    <w:rsid w:val="00514C5E"/>
    <w:rsid w:val="0051627E"/>
    <w:rsid w:val="0051698B"/>
    <w:rsid w:val="0052780A"/>
    <w:rsid w:val="00545FC8"/>
    <w:rsid w:val="00551211"/>
    <w:rsid w:val="005735B3"/>
    <w:rsid w:val="005752D1"/>
    <w:rsid w:val="005B1E80"/>
    <w:rsid w:val="005C04E6"/>
    <w:rsid w:val="005C09F7"/>
    <w:rsid w:val="005C3F82"/>
    <w:rsid w:val="005D2304"/>
    <w:rsid w:val="005F507C"/>
    <w:rsid w:val="00604EF0"/>
    <w:rsid w:val="006162C6"/>
    <w:rsid w:val="00670B9B"/>
    <w:rsid w:val="00675C42"/>
    <w:rsid w:val="00684506"/>
    <w:rsid w:val="006871B9"/>
    <w:rsid w:val="00697794"/>
    <w:rsid w:val="006A1909"/>
    <w:rsid w:val="006B6E9E"/>
    <w:rsid w:val="006C6C0B"/>
    <w:rsid w:val="006E1A55"/>
    <w:rsid w:val="006F0618"/>
    <w:rsid w:val="006F18D5"/>
    <w:rsid w:val="007040D6"/>
    <w:rsid w:val="007132C1"/>
    <w:rsid w:val="0074690B"/>
    <w:rsid w:val="00752093"/>
    <w:rsid w:val="00752EDC"/>
    <w:rsid w:val="00762854"/>
    <w:rsid w:val="007637C3"/>
    <w:rsid w:val="0076482D"/>
    <w:rsid w:val="0077695B"/>
    <w:rsid w:val="00777614"/>
    <w:rsid w:val="0078467F"/>
    <w:rsid w:val="00785935"/>
    <w:rsid w:val="007A245E"/>
    <w:rsid w:val="007C6316"/>
    <w:rsid w:val="007D0291"/>
    <w:rsid w:val="007D37F2"/>
    <w:rsid w:val="007D6992"/>
    <w:rsid w:val="007D6B23"/>
    <w:rsid w:val="007E329B"/>
    <w:rsid w:val="007F2BAE"/>
    <w:rsid w:val="007F40C9"/>
    <w:rsid w:val="008009B8"/>
    <w:rsid w:val="00804F24"/>
    <w:rsid w:val="008124C5"/>
    <w:rsid w:val="00820EB5"/>
    <w:rsid w:val="00821B92"/>
    <w:rsid w:val="0082302C"/>
    <w:rsid w:val="00825B42"/>
    <w:rsid w:val="00865ABE"/>
    <w:rsid w:val="0087001D"/>
    <w:rsid w:val="00873D63"/>
    <w:rsid w:val="00875583"/>
    <w:rsid w:val="00880AB7"/>
    <w:rsid w:val="008844AE"/>
    <w:rsid w:val="0089547D"/>
    <w:rsid w:val="008B0A68"/>
    <w:rsid w:val="008B1FEF"/>
    <w:rsid w:val="008C13B4"/>
    <w:rsid w:val="008C2BF9"/>
    <w:rsid w:val="008C50A1"/>
    <w:rsid w:val="008D0B1A"/>
    <w:rsid w:val="008D1BDB"/>
    <w:rsid w:val="009124EE"/>
    <w:rsid w:val="00925EBC"/>
    <w:rsid w:val="009428C0"/>
    <w:rsid w:val="00960A80"/>
    <w:rsid w:val="00972066"/>
    <w:rsid w:val="00977A74"/>
    <w:rsid w:val="00985BEB"/>
    <w:rsid w:val="00991678"/>
    <w:rsid w:val="009945B6"/>
    <w:rsid w:val="00995F5C"/>
    <w:rsid w:val="00997F65"/>
    <w:rsid w:val="009A1E1F"/>
    <w:rsid w:val="009B48CC"/>
    <w:rsid w:val="009B5004"/>
    <w:rsid w:val="009B535A"/>
    <w:rsid w:val="009C0E6D"/>
    <w:rsid w:val="00A0043F"/>
    <w:rsid w:val="00A05EC2"/>
    <w:rsid w:val="00A06BC2"/>
    <w:rsid w:val="00A1174B"/>
    <w:rsid w:val="00A12F04"/>
    <w:rsid w:val="00A22A58"/>
    <w:rsid w:val="00A43198"/>
    <w:rsid w:val="00A52D35"/>
    <w:rsid w:val="00A62E5E"/>
    <w:rsid w:val="00A70A4B"/>
    <w:rsid w:val="00A772C0"/>
    <w:rsid w:val="00A83F7A"/>
    <w:rsid w:val="00A84E45"/>
    <w:rsid w:val="00A925B9"/>
    <w:rsid w:val="00A92A1A"/>
    <w:rsid w:val="00AB48AD"/>
    <w:rsid w:val="00AC3AEA"/>
    <w:rsid w:val="00AF1DCA"/>
    <w:rsid w:val="00AF6EDE"/>
    <w:rsid w:val="00B11393"/>
    <w:rsid w:val="00B121D7"/>
    <w:rsid w:val="00B1632F"/>
    <w:rsid w:val="00B24AD9"/>
    <w:rsid w:val="00B3041A"/>
    <w:rsid w:val="00B33CAA"/>
    <w:rsid w:val="00B70C6E"/>
    <w:rsid w:val="00B81378"/>
    <w:rsid w:val="00B83401"/>
    <w:rsid w:val="00B83465"/>
    <w:rsid w:val="00B934AF"/>
    <w:rsid w:val="00BB76A4"/>
    <w:rsid w:val="00BB7D59"/>
    <w:rsid w:val="00BC09CD"/>
    <w:rsid w:val="00BC1DC1"/>
    <w:rsid w:val="00BC6F43"/>
    <w:rsid w:val="00BD0B23"/>
    <w:rsid w:val="00BD483F"/>
    <w:rsid w:val="00BE2D5E"/>
    <w:rsid w:val="00BE49C3"/>
    <w:rsid w:val="00BF42D5"/>
    <w:rsid w:val="00BF48BD"/>
    <w:rsid w:val="00BF4D77"/>
    <w:rsid w:val="00C0035C"/>
    <w:rsid w:val="00C139BC"/>
    <w:rsid w:val="00C15AC6"/>
    <w:rsid w:val="00C15C84"/>
    <w:rsid w:val="00C162CF"/>
    <w:rsid w:val="00C167A7"/>
    <w:rsid w:val="00C20ACF"/>
    <w:rsid w:val="00C51380"/>
    <w:rsid w:val="00C548E2"/>
    <w:rsid w:val="00C632F3"/>
    <w:rsid w:val="00CB6A33"/>
    <w:rsid w:val="00CD4862"/>
    <w:rsid w:val="00CD69AB"/>
    <w:rsid w:val="00D02B10"/>
    <w:rsid w:val="00D10A05"/>
    <w:rsid w:val="00D15935"/>
    <w:rsid w:val="00D15EB7"/>
    <w:rsid w:val="00D23C18"/>
    <w:rsid w:val="00D320EB"/>
    <w:rsid w:val="00D50B32"/>
    <w:rsid w:val="00D7625A"/>
    <w:rsid w:val="00D82D1C"/>
    <w:rsid w:val="00D85301"/>
    <w:rsid w:val="00D8606A"/>
    <w:rsid w:val="00D8618C"/>
    <w:rsid w:val="00D87ACC"/>
    <w:rsid w:val="00D934C5"/>
    <w:rsid w:val="00D95BC4"/>
    <w:rsid w:val="00DA2DBA"/>
    <w:rsid w:val="00DA7C6D"/>
    <w:rsid w:val="00DB0AF1"/>
    <w:rsid w:val="00DB543E"/>
    <w:rsid w:val="00DB5504"/>
    <w:rsid w:val="00DC0972"/>
    <w:rsid w:val="00DC17D8"/>
    <w:rsid w:val="00DE734F"/>
    <w:rsid w:val="00DE792B"/>
    <w:rsid w:val="00DF41E0"/>
    <w:rsid w:val="00DF5938"/>
    <w:rsid w:val="00E03AC9"/>
    <w:rsid w:val="00E13E8A"/>
    <w:rsid w:val="00E346B4"/>
    <w:rsid w:val="00E37AC4"/>
    <w:rsid w:val="00E40F41"/>
    <w:rsid w:val="00E47081"/>
    <w:rsid w:val="00E766ED"/>
    <w:rsid w:val="00E7707C"/>
    <w:rsid w:val="00E841C1"/>
    <w:rsid w:val="00E86EB5"/>
    <w:rsid w:val="00EA756C"/>
    <w:rsid w:val="00EB5128"/>
    <w:rsid w:val="00EC2C69"/>
    <w:rsid w:val="00ED3226"/>
    <w:rsid w:val="00ED7F5F"/>
    <w:rsid w:val="00EE33C3"/>
    <w:rsid w:val="00EE5A87"/>
    <w:rsid w:val="00F01224"/>
    <w:rsid w:val="00F05B62"/>
    <w:rsid w:val="00F16565"/>
    <w:rsid w:val="00F17253"/>
    <w:rsid w:val="00F3575F"/>
    <w:rsid w:val="00F50A92"/>
    <w:rsid w:val="00F6513D"/>
    <w:rsid w:val="00F66BDE"/>
    <w:rsid w:val="00F73646"/>
    <w:rsid w:val="00F73C2C"/>
    <w:rsid w:val="00F92190"/>
    <w:rsid w:val="00F9796E"/>
    <w:rsid w:val="00FA4309"/>
    <w:rsid w:val="00FB3AFB"/>
    <w:rsid w:val="00FD5D11"/>
    <w:rsid w:val="00FE6911"/>
    <w:rsid w:val="00FF6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635AD6A"/>
  <w15:chartTrackingRefBased/>
  <w15:docId w15:val="{D1498E45-9829-44DD-B79E-5468365E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3E25"/>
    <w:pPr>
      <w:spacing w:after="0" w:line="240" w:lineRule="auto"/>
    </w:pPr>
    <w:rPr>
      <w:lang w:val="en-US"/>
    </w:rPr>
  </w:style>
  <w:style w:type="character" w:customStyle="1" w:styleId="normaltextrun">
    <w:name w:val="normaltextrun"/>
    <w:basedOn w:val="DefaultParagraphFont"/>
    <w:rsid w:val="00A52D35"/>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F73646"/>
    <w:pPr>
      <w:spacing w:after="0" w:line="240" w:lineRule="auto"/>
      <w:ind w:left="720"/>
    </w:pPr>
    <w:rPr>
      <w:rFonts w:ascii="Calibri" w:hAnsi="Calibri" w:cs="Calibri"/>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F73646"/>
    <w:rPr>
      <w:rFonts w:ascii="Calibri" w:hAnsi="Calibri" w:cs="Calibri"/>
    </w:rPr>
  </w:style>
  <w:style w:type="character" w:styleId="CommentReference">
    <w:name w:val="annotation reference"/>
    <w:basedOn w:val="DefaultParagraphFont"/>
    <w:uiPriority w:val="99"/>
    <w:semiHidden/>
    <w:unhideWhenUsed/>
    <w:rsid w:val="006C6C0B"/>
    <w:rPr>
      <w:sz w:val="16"/>
      <w:szCs w:val="16"/>
    </w:rPr>
  </w:style>
  <w:style w:type="paragraph" w:styleId="CommentText">
    <w:name w:val="annotation text"/>
    <w:basedOn w:val="Normal"/>
    <w:link w:val="CommentTextChar"/>
    <w:uiPriority w:val="99"/>
    <w:semiHidden/>
    <w:unhideWhenUsed/>
    <w:rsid w:val="006C6C0B"/>
    <w:pPr>
      <w:spacing w:line="240" w:lineRule="auto"/>
    </w:pPr>
    <w:rPr>
      <w:sz w:val="20"/>
      <w:szCs w:val="20"/>
    </w:rPr>
  </w:style>
  <w:style w:type="character" w:customStyle="1" w:styleId="CommentTextChar">
    <w:name w:val="Comment Text Char"/>
    <w:basedOn w:val="DefaultParagraphFont"/>
    <w:link w:val="CommentText"/>
    <w:uiPriority w:val="99"/>
    <w:semiHidden/>
    <w:rsid w:val="006C6C0B"/>
    <w:rPr>
      <w:sz w:val="20"/>
      <w:szCs w:val="20"/>
    </w:rPr>
  </w:style>
  <w:style w:type="paragraph" w:styleId="CommentSubject">
    <w:name w:val="annotation subject"/>
    <w:basedOn w:val="CommentText"/>
    <w:next w:val="CommentText"/>
    <w:link w:val="CommentSubjectChar"/>
    <w:uiPriority w:val="99"/>
    <w:semiHidden/>
    <w:unhideWhenUsed/>
    <w:rsid w:val="006C6C0B"/>
    <w:rPr>
      <w:b/>
      <w:bCs/>
    </w:rPr>
  </w:style>
  <w:style w:type="character" w:customStyle="1" w:styleId="CommentSubjectChar">
    <w:name w:val="Comment Subject Char"/>
    <w:basedOn w:val="CommentTextChar"/>
    <w:link w:val="CommentSubject"/>
    <w:uiPriority w:val="99"/>
    <w:semiHidden/>
    <w:rsid w:val="006C6C0B"/>
    <w:rPr>
      <w:b/>
      <w:bCs/>
      <w:sz w:val="20"/>
      <w:szCs w:val="20"/>
    </w:rPr>
  </w:style>
  <w:style w:type="paragraph" w:styleId="BalloonText">
    <w:name w:val="Balloon Text"/>
    <w:basedOn w:val="Normal"/>
    <w:link w:val="BalloonTextChar"/>
    <w:uiPriority w:val="99"/>
    <w:semiHidden/>
    <w:unhideWhenUsed/>
    <w:rsid w:val="006C6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C0B"/>
    <w:rPr>
      <w:rFonts w:ascii="Segoe UI" w:hAnsi="Segoe UI" w:cs="Segoe UI"/>
      <w:sz w:val="18"/>
      <w:szCs w:val="18"/>
    </w:rPr>
  </w:style>
  <w:style w:type="character" w:styleId="Hyperlink">
    <w:name w:val="Hyperlink"/>
    <w:basedOn w:val="DefaultParagraphFont"/>
    <w:uiPriority w:val="99"/>
    <w:unhideWhenUsed/>
    <w:rsid w:val="00F3575F"/>
    <w:rPr>
      <w:color w:val="0563C1" w:themeColor="hyperlink"/>
      <w:u w:val="single"/>
    </w:rPr>
  </w:style>
  <w:style w:type="character" w:customStyle="1" w:styleId="UnresolvedMention1">
    <w:name w:val="Unresolved Mention1"/>
    <w:basedOn w:val="DefaultParagraphFont"/>
    <w:uiPriority w:val="99"/>
    <w:semiHidden/>
    <w:unhideWhenUsed/>
    <w:rsid w:val="00F3575F"/>
    <w:rPr>
      <w:color w:val="605E5C"/>
      <w:shd w:val="clear" w:color="auto" w:fill="E1DFDD"/>
    </w:rPr>
  </w:style>
  <w:style w:type="paragraph" w:styleId="Header">
    <w:name w:val="header"/>
    <w:basedOn w:val="Normal"/>
    <w:link w:val="HeaderChar"/>
    <w:uiPriority w:val="99"/>
    <w:unhideWhenUsed/>
    <w:rsid w:val="007D6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992"/>
  </w:style>
  <w:style w:type="paragraph" w:styleId="Footer">
    <w:name w:val="footer"/>
    <w:basedOn w:val="Normal"/>
    <w:link w:val="FooterChar"/>
    <w:uiPriority w:val="99"/>
    <w:unhideWhenUsed/>
    <w:rsid w:val="007D6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6201">
      <w:bodyDiv w:val="1"/>
      <w:marLeft w:val="0"/>
      <w:marRight w:val="0"/>
      <w:marTop w:val="0"/>
      <w:marBottom w:val="0"/>
      <w:divBdr>
        <w:top w:val="none" w:sz="0" w:space="0" w:color="auto"/>
        <w:left w:val="none" w:sz="0" w:space="0" w:color="auto"/>
        <w:bottom w:val="none" w:sz="0" w:space="0" w:color="auto"/>
        <w:right w:val="none" w:sz="0" w:space="0" w:color="auto"/>
      </w:divBdr>
      <w:divsChild>
        <w:div w:id="1352876514">
          <w:marLeft w:val="0"/>
          <w:marRight w:val="0"/>
          <w:marTop w:val="0"/>
          <w:marBottom w:val="0"/>
          <w:divBdr>
            <w:top w:val="none" w:sz="0" w:space="0" w:color="auto"/>
            <w:left w:val="none" w:sz="0" w:space="0" w:color="auto"/>
            <w:bottom w:val="none" w:sz="0" w:space="0" w:color="auto"/>
            <w:right w:val="none" w:sz="0" w:space="0" w:color="auto"/>
          </w:divBdr>
        </w:div>
      </w:divsChild>
    </w:div>
    <w:div w:id="148330630">
      <w:bodyDiv w:val="1"/>
      <w:marLeft w:val="0"/>
      <w:marRight w:val="0"/>
      <w:marTop w:val="0"/>
      <w:marBottom w:val="0"/>
      <w:divBdr>
        <w:top w:val="none" w:sz="0" w:space="0" w:color="auto"/>
        <w:left w:val="none" w:sz="0" w:space="0" w:color="auto"/>
        <w:bottom w:val="none" w:sz="0" w:space="0" w:color="auto"/>
        <w:right w:val="none" w:sz="0" w:space="0" w:color="auto"/>
      </w:divBdr>
    </w:div>
    <w:div w:id="519392587">
      <w:bodyDiv w:val="1"/>
      <w:marLeft w:val="0"/>
      <w:marRight w:val="0"/>
      <w:marTop w:val="0"/>
      <w:marBottom w:val="0"/>
      <w:divBdr>
        <w:top w:val="none" w:sz="0" w:space="0" w:color="auto"/>
        <w:left w:val="none" w:sz="0" w:space="0" w:color="auto"/>
        <w:bottom w:val="none" w:sz="0" w:space="0" w:color="auto"/>
        <w:right w:val="none" w:sz="0" w:space="0" w:color="auto"/>
      </w:divBdr>
    </w:div>
    <w:div w:id="690493119">
      <w:bodyDiv w:val="1"/>
      <w:marLeft w:val="0"/>
      <w:marRight w:val="0"/>
      <w:marTop w:val="0"/>
      <w:marBottom w:val="0"/>
      <w:divBdr>
        <w:top w:val="none" w:sz="0" w:space="0" w:color="auto"/>
        <w:left w:val="none" w:sz="0" w:space="0" w:color="auto"/>
        <w:bottom w:val="none" w:sz="0" w:space="0" w:color="auto"/>
        <w:right w:val="none" w:sz="0" w:space="0" w:color="auto"/>
      </w:divBdr>
    </w:div>
    <w:div w:id="1110205017">
      <w:bodyDiv w:val="1"/>
      <w:marLeft w:val="0"/>
      <w:marRight w:val="0"/>
      <w:marTop w:val="0"/>
      <w:marBottom w:val="0"/>
      <w:divBdr>
        <w:top w:val="none" w:sz="0" w:space="0" w:color="auto"/>
        <w:left w:val="none" w:sz="0" w:space="0" w:color="auto"/>
        <w:bottom w:val="none" w:sz="0" w:space="0" w:color="auto"/>
        <w:right w:val="none" w:sz="0" w:space="0" w:color="auto"/>
      </w:divBdr>
    </w:div>
    <w:div w:id="1764833566">
      <w:bodyDiv w:val="1"/>
      <w:marLeft w:val="0"/>
      <w:marRight w:val="0"/>
      <w:marTop w:val="0"/>
      <w:marBottom w:val="0"/>
      <w:divBdr>
        <w:top w:val="none" w:sz="0" w:space="0" w:color="auto"/>
        <w:left w:val="none" w:sz="0" w:space="0" w:color="auto"/>
        <w:bottom w:val="none" w:sz="0" w:space="0" w:color="auto"/>
        <w:right w:val="none" w:sz="0" w:space="0" w:color="auto"/>
      </w:divBdr>
    </w:div>
    <w:div w:id="201833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1.docx"/><Relationship Id="rId18" Type="http://schemas.openxmlformats.org/officeDocument/2006/relationships/package" Target="embeddings/Microsoft_PowerPoint_Presentation.pptx"/><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package" Target="embeddings/Microsoft_Word_Document2.doc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5.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mppsintranet.org.uk/ersd-guidance/2020/04/28/staff-testing-in-englan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12" ma:contentTypeDescription="Create a new document." ma:contentTypeScope="" ma:versionID="83fbd71a8db6e430c993de3f44090292">
  <xsd:schema xmlns:xsd="http://www.w3.org/2001/XMLSchema" xmlns:xs="http://www.w3.org/2001/XMLSchema" xmlns:p="http://schemas.microsoft.com/office/2006/metadata/properties" xmlns:ns3="e7f278ac-59d6-4ba2-95d1-ff401055d899" xmlns:ns4="0d318f78-d8bf-4474-903e-2b2260215bba" targetNamespace="http://schemas.microsoft.com/office/2006/metadata/properties" ma:root="true" ma:fieldsID="e3da95129c6624a35ca444113ed71132" ns3:_="" ns4:_="">
    <xsd:import namespace="e7f278ac-59d6-4ba2-95d1-ff401055d899"/>
    <xsd:import namespace="0d318f78-d8bf-4474-903e-2b2260215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18f78-d8bf-4474-903e-2b226021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23B806-7F53-4733-9E13-45B304220F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C1897B-0671-4DFB-8C11-FAEFC1DE279D}">
  <ds:schemaRefs>
    <ds:schemaRef ds:uri="http://schemas.microsoft.com/sharepoint/v3/contenttype/forms"/>
  </ds:schemaRefs>
</ds:datastoreItem>
</file>

<file path=customXml/itemProps3.xml><?xml version="1.0" encoding="utf-8"?>
<ds:datastoreItem xmlns:ds="http://schemas.openxmlformats.org/officeDocument/2006/customXml" ds:itemID="{E38E474D-A3BA-49B9-A060-04C3538DE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0d318f78-d8bf-4474-903e-2b226021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7</Pages>
  <Words>2993</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dc:creator>
  <cp:keywords/>
  <dc:description/>
  <cp:lastModifiedBy>Blake, Sian</cp:lastModifiedBy>
  <cp:revision>56</cp:revision>
  <dcterms:created xsi:type="dcterms:W3CDTF">2021-03-01T10:03:00Z</dcterms:created>
  <dcterms:modified xsi:type="dcterms:W3CDTF">2021-03-02T10:31:00Z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