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2B0E9" w14:textId="77777777" w:rsidR="00A04B47" w:rsidRPr="004F30E2" w:rsidRDefault="00A04B47">
      <w:pPr>
        <w:rPr>
          <w:rFonts w:ascii="Arial" w:hAnsi="Arial" w:cs="Arial"/>
        </w:rPr>
      </w:pPr>
    </w:p>
    <w:p w14:paraId="4509904B" w14:textId="77777777" w:rsidR="004F30E2" w:rsidRPr="004F30E2" w:rsidRDefault="004F30E2" w:rsidP="00653E1B">
      <w:pPr>
        <w:jc w:val="both"/>
        <w:rPr>
          <w:rFonts w:ascii="Arial" w:hAnsi="Arial" w:cs="Arial"/>
          <w:b/>
          <w:noProof/>
          <w:lang w:eastAsia="en-GB"/>
        </w:rPr>
      </w:pPr>
    </w:p>
    <w:p w14:paraId="1AF16930" w14:textId="77777777" w:rsidR="004F30E2" w:rsidRPr="004F30E2" w:rsidRDefault="004F30E2" w:rsidP="00653E1B">
      <w:pPr>
        <w:jc w:val="both"/>
        <w:rPr>
          <w:rFonts w:ascii="Arial" w:hAnsi="Arial" w:cs="Arial"/>
          <w:b/>
          <w:noProof/>
          <w:lang w:eastAsia="en-GB"/>
        </w:rPr>
      </w:pPr>
    </w:p>
    <w:p w14:paraId="3A5D050B" w14:textId="77777777" w:rsidR="004F30E2" w:rsidRPr="004F30E2" w:rsidRDefault="004F30E2" w:rsidP="00653E1B">
      <w:pPr>
        <w:jc w:val="both"/>
        <w:rPr>
          <w:rFonts w:ascii="Arial" w:hAnsi="Arial" w:cs="Arial"/>
          <w:b/>
          <w:noProof/>
          <w:lang w:eastAsia="en-GB"/>
        </w:rPr>
      </w:pPr>
    </w:p>
    <w:p w14:paraId="1D975017" w14:textId="77777777" w:rsidR="004F30E2" w:rsidRPr="004F30E2" w:rsidRDefault="004F30E2" w:rsidP="00653E1B">
      <w:pPr>
        <w:jc w:val="both"/>
        <w:rPr>
          <w:rFonts w:ascii="Arial" w:hAnsi="Arial" w:cs="Arial"/>
          <w:b/>
          <w:noProof/>
          <w:lang w:eastAsia="en-GB"/>
        </w:rPr>
      </w:pPr>
    </w:p>
    <w:p w14:paraId="50E834B5" w14:textId="77777777" w:rsidR="004F30E2" w:rsidRPr="004F30E2" w:rsidRDefault="00C55DB5" w:rsidP="00C55DB5">
      <w:pPr>
        <w:tabs>
          <w:tab w:val="left" w:pos="3810"/>
        </w:tabs>
        <w:jc w:val="both"/>
        <w:rPr>
          <w:rFonts w:ascii="Arial" w:hAnsi="Arial" w:cs="Arial"/>
          <w:b/>
          <w:noProof/>
          <w:lang w:eastAsia="en-GB"/>
        </w:rPr>
      </w:pPr>
      <w:r>
        <w:rPr>
          <w:rFonts w:ascii="Arial" w:hAnsi="Arial" w:cs="Arial"/>
          <w:b/>
          <w:noProof/>
          <w:lang w:eastAsia="en-GB"/>
        </w:rPr>
        <w:tab/>
      </w:r>
    </w:p>
    <w:p w14:paraId="773ADFFD" w14:textId="77777777" w:rsidR="004F30E2" w:rsidRPr="004F30E2" w:rsidRDefault="004F30E2" w:rsidP="00653E1B">
      <w:pPr>
        <w:jc w:val="both"/>
        <w:rPr>
          <w:rFonts w:ascii="Arial" w:hAnsi="Arial" w:cs="Arial"/>
          <w:b/>
          <w:noProof/>
          <w:lang w:eastAsia="en-GB"/>
        </w:rPr>
      </w:pPr>
    </w:p>
    <w:p w14:paraId="28AFDDC1" w14:textId="77777777" w:rsidR="004F30E2" w:rsidRPr="004F30E2" w:rsidRDefault="004F30E2" w:rsidP="00653E1B">
      <w:pPr>
        <w:jc w:val="both"/>
        <w:rPr>
          <w:rFonts w:ascii="Arial" w:hAnsi="Arial" w:cs="Arial"/>
          <w:b/>
          <w:noProof/>
          <w:lang w:eastAsia="en-GB"/>
        </w:rPr>
      </w:pPr>
    </w:p>
    <w:p w14:paraId="7DDAFDDD" w14:textId="77777777" w:rsidR="004F30E2" w:rsidRPr="004F30E2" w:rsidRDefault="004F30E2" w:rsidP="004F30E2">
      <w:pPr>
        <w:rPr>
          <w:rFonts w:ascii="Arial" w:hAnsi="Arial" w:cs="Arial"/>
          <w:b/>
          <w:noProof/>
          <w:color w:val="FFFFFF" w:themeColor="background1"/>
          <w:sz w:val="56"/>
          <w:szCs w:val="56"/>
          <w:lang w:eastAsia="en-GB"/>
        </w:rPr>
      </w:pPr>
    </w:p>
    <w:p w14:paraId="554A15CC" w14:textId="77777777" w:rsidR="004F30E2" w:rsidRPr="004F30E2" w:rsidRDefault="004F30E2" w:rsidP="004F30E2">
      <w:pPr>
        <w:rPr>
          <w:rFonts w:ascii="Arial" w:hAnsi="Arial" w:cs="Arial"/>
          <w:b/>
          <w:noProof/>
          <w:color w:val="FFFFFF" w:themeColor="background1"/>
          <w:sz w:val="56"/>
          <w:szCs w:val="56"/>
          <w:lang w:eastAsia="en-GB"/>
        </w:rPr>
      </w:pPr>
    </w:p>
    <w:p w14:paraId="16331F89" w14:textId="77777777" w:rsidR="00C04179" w:rsidRPr="009B7F9C" w:rsidRDefault="00C55DB5" w:rsidP="004F30E2">
      <w:pPr>
        <w:jc w:val="both"/>
        <w:rPr>
          <w:rFonts w:ascii="Arial" w:hAnsi="Arial" w:cs="Arial"/>
          <w:b/>
          <w:noProof/>
          <w:sz w:val="56"/>
          <w:szCs w:val="56"/>
          <w:lang w:eastAsia="en-GB"/>
        </w:rPr>
      </w:pPr>
      <w:r w:rsidRPr="009B7F9C">
        <w:rPr>
          <w:rFonts w:ascii="Arial" w:hAnsi="Arial" w:cs="Arial"/>
          <w:b/>
          <w:noProof/>
          <w:sz w:val="56"/>
          <w:szCs w:val="56"/>
          <w:lang w:eastAsia="en-GB"/>
        </w:rPr>
        <w:t>Recovery Regime Management</w:t>
      </w:r>
    </w:p>
    <w:p w14:paraId="424D77E0" w14:textId="77777777" w:rsidR="00C55DB5" w:rsidRPr="009B7F9C" w:rsidRDefault="00C55DB5" w:rsidP="004F30E2">
      <w:pPr>
        <w:jc w:val="both"/>
        <w:rPr>
          <w:rFonts w:ascii="Arial" w:hAnsi="Arial" w:cs="Arial"/>
          <w:b/>
          <w:noProof/>
          <w:sz w:val="56"/>
          <w:szCs w:val="56"/>
          <w:lang w:eastAsia="en-GB"/>
        </w:rPr>
      </w:pPr>
      <w:r w:rsidRPr="009B7F9C">
        <w:rPr>
          <w:rFonts w:ascii="Arial" w:hAnsi="Arial" w:cs="Arial"/>
          <w:b/>
          <w:noProof/>
          <w:sz w:val="56"/>
          <w:szCs w:val="56"/>
          <w:lang w:eastAsia="en-GB"/>
        </w:rPr>
        <w:t>Plan (RRMP)</w:t>
      </w:r>
    </w:p>
    <w:p w14:paraId="30FCB38D" w14:textId="77777777" w:rsidR="00C55DB5" w:rsidRPr="009B7F9C" w:rsidRDefault="004F5C9C" w:rsidP="004F30E2">
      <w:pPr>
        <w:jc w:val="both"/>
        <w:rPr>
          <w:rFonts w:ascii="Arial" w:hAnsi="Arial" w:cs="Arial"/>
          <w:b/>
          <w:noProof/>
          <w:sz w:val="36"/>
          <w:szCs w:val="36"/>
          <w:lang w:eastAsia="en-GB"/>
        </w:rPr>
      </w:pPr>
      <w:r w:rsidRPr="009B7F9C">
        <w:rPr>
          <w:rFonts w:ascii="Arial" w:hAnsi="Arial" w:cs="Arial"/>
          <w:b/>
          <w:noProof/>
          <w:sz w:val="36"/>
          <w:szCs w:val="36"/>
          <w:lang w:eastAsia="en-GB"/>
        </w:rPr>
        <w:t>June</w:t>
      </w:r>
      <w:r w:rsidR="00C55DB5" w:rsidRPr="009B7F9C">
        <w:rPr>
          <w:rFonts w:ascii="Arial" w:hAnsi="Arial" w:cs="Arial"/>
          <w:b/>
          <w:noProof/>
          <w:sz w:val="36"/>
          <w:szCs w:val="36"/>
          <w:lang w:eastAsia="en-GB"/>
        </w:rPr>
        <w:t xml:space="preserve"> 2020</w:t>
      </w:r>
    </w:p>
    <w:p w14:paraId="698106A1" w14:textId="77777777" w:rsidR="00C04179" w:rsidRPr="009B7F9C" w:rsidRDefault="00C04179" w:rsidP="00653E1B">
      <w:pPr>
        <w:jc w:val="both"/>
        <w:rPr>
          <w:rFonts w:ascii="Arial" w:hAnsi="Arial" w:cs="Arial"/>
          <w:b/>
        </w:rPr>
      </w:pPr>
    </w:p>
    <w:p w14:paraId="15E84999" w14:textId="77777777" w:rsidR="00C04179" w:rsidRPr="009B7F9C" w:rsidRDefault="00C04179" w:rsidP="00653E1B">
      <w:pPr>
        <w:jc w:val="both"/>
        <w:rPr>
          <w:rFonts w:ascii="Arial" w:hAnsi="Arial" w:cs="Arial"/>
          <w:b/>
        </w:rPr>
      </w:pPr>
    </w:p>
    <w:p w14:paraId="0B5C36C5" w14:textId="77777777" w:rsidR="00C04179" w:rsidRPr="009B7F9C" w:rsidRDefault="00C04179" w:rsidP="00653E1B">
      <w:pPr>
        <w:jc w:val="both"/>
        <w:rPr>
          <w:rFonts w:ascii="Arial" w:hAnsi="Arial" w:cs="Arial"/>
          <w:b/>
        </w:rPr>
      </w:pPr>
    </w:p>
    <w:p w14:paraId="6BADE247" w14:textId="77777777" w:rsidR="00C04179" w:rsidRPr="009B7F9C" w:rsidRDefault="00C04179" w:rsidP="00653E1B">
      <w:pPr>
        <w:jc w:val="both"/>
        <w:rPr>
          <w:rFonts w:ascii="Arial" w:hAnsi="Arial" w:cs="Arial"/>
          <w:b/>
        </w:rPr>
      </w:pPr>
    </w:p>
    <w:p w14:paraId="08CEBF46" w14:textId="77777777" w:rsidR="00C04179" w:rsidRPr="009B7F9C" w:rsidRDefault="00C04179" w:rsidP="00653E1B">
      <w:pPr>
        <w:jc w:val="both"/>
        <w:rPr>
          <w:rFonts w:ascii="Arial" w:hAnsi="Arial" w:cs="Arial"/>
          <w:b/>
        </w:rPr>
      </w:pPr>
    </w:p>
    <w:p w14:paraId="7E8C8F1B" w14:textId="77777777" w:rsidR="00C04179" w:rsidRPr="009B7F9C" w:rsidRDefault="00C04179" w:rsidP="00653E1B">
      <w:pPr>
        <w:jc w:val="both"/>
        <w:rPr>
          <w:rFonts w:ascii="Arial" w:hAnsi="Arial" w:cs="Arial"/>
          <w:b/>
        </w:rPr>
      </w:pPr>
    </w:p>
    <w:p w14:paraId="715B053A" w14:textId="77777777" w:rsidR="00C04179" w:rsidRPr="009B7F9C" w:rsidRDefault="00C04179" w:rsidP="00653E1B">
      <w:pPr>
        <w:jc w:val="both"/>
        <w:rPr>
          <w:rFonts w:ascii="Arial" w:hAnsi="Arial" w:cs="Arial"/>
          <w:b/>
        </w:rPr>
      </w:pPr>
    </w:p>
    <w:p w14:paraId="4BE47D2D" w14:textId="77777777" w:rsidR="00C04179" w:rsidRPr="009B7F9C" w:rsidRDefault="00C04179" w:rsidP="00653E1B">
      <w:pPr>
        <w:jc w:val="both"/>
        <w:rPr>
          <w:rFonts w:ascii="Arial" w:hAnsi="Arial" w:cs="Arial"/>
          <w:b/>
        </w:rPr>
      </w:pPr>
    </w:p>
    <w:p w14:paraId="17A311F9" w14:textId="77777777" w:rsidR="00C04179" w:rsidRPr="009B7F9C" w:rsidRDefault="00C04179" w:rsidP="00653E1B">
      <w:pPr>
        <w:jc w:val="both"/>
        <w:rPr>
          <w:rFonts w:ascii="Arial" w:hAnsi="Arial" w:cs="Arial"/>
          <w:b/>
        </w:rPr>
      </w:pPr>
    </w:p>
    <w:p w14:paraId="65F54323" w14:textId="77777777" w:rsidR="00C04179" w:rsidRPr="009B7F9C" w:rsidRDefault="00C04179" w:rsidP="004F30E2">
      <w:pPr>
        <w:jc w:val="center"/>
        <w:rPr>
          <w:rFonts w:ascii="Arial" w:hAnsi="Arial" w:cs="Arial"/>
          <w:b/>
        </w:rPr>
      </w:pPr>
    </w:p>
    <w:tbl>
      <w:tblPr>
        <w:tblStyle w:val="TableGrid"/>
        <w:tblW w:w="0" w:type="auto"/>
        <w:tblLook w:val="04A0" w:firstRow="1" w:lastRow="0" w:firstColumn="1" w:lastColumn="0" w:noHBand="0" w:noVBand="1"/>
      </w:tblPr>
      <w:tblGrid>
        <w:gridCol w:w="5034"/>
        <w:gridCol w:w="3982"/>
      </w:tblGrid>
      <w:tr w:rsidR="004F30E2" w:rsidRPr="009B7F9C" w14:paraId="0C9F098B" w14:textId="77777777" w:rsidTr="004F30E2">
        <w:tc>
          <w:tcPr>
            <w:tcW w:w="5148" w:type="dxa"/>
          </w:tcPr>
          <w:p w14:paraId="0D1D9313" w14:textId="77777777" w:rsidR="004F30E2" w:rsidRPr="009B7F9C" w:rsidRDefault="000178A2" w:rsidP="00653E1B">
            <w:pPr>
              <w:jc w:val="both"/>
              <w:rPr>
                <w:rFonts w:ascii="Arial" w:hAnsi="Arial" w:cs="Arial"/>
                <w:b/>
              </w:rPr>
            </w:pPr>
            <w:r w:rsidRPr="009B7F9C">
              <w:rPr>
                <w:rFonts w:ascii="Arial" w:hAnsi="Arial" w:cs="Arial"/>
                <w:b/>
              </w:rPr>
              <w:t>Contents</w:t>
            </w:r>
          </w:p>
        </w:tc>
        <w:tc>
          <w:tcPr>
            <w:tcW w:w="4094" w:type="dxa"/>
          </w:tcPr>
          <w:p w14:paraId="429FEEF5" w14:textId="77777777" w:rsidR="004F30E2" w:rsidRPr="009B7F9C" w:rsidRDefault="004F30E2" w:rsidP="00653E1B">
            <w:pPr>
              <w:jc w:val="both"/>
              <w:rPr>
                <w:rFonts w:ascii="Arial" w:hAnsi="Arial" w:cs="Arial"/>
                <w:b/>
              </w:rPr>
            </w:pPr>
            <w:r w:rsidRPr="009B7F9C">
              <w:rPr>
                <w:rFonts w:ascii="Arial" w:hAnsi="Arial" w:cs="Arial"/>
                <w:b/>
              </w:rPr>
              <w:t>Page</w:t>
            </w:r>
          </w:p>
        </w:tc>
      </w:tr>
      <w:tr w:rsidR="008E3972" w:rsidRPr="009B7F9C" w14:paraId="0D64651F" w14:textId="77777777" w:rsidTr="004F30E2">
        <w:tc>
          <w:tcPr>
            <w:tcW w:w="5148" w:type="dxa"/>
          </w:tcPr>
          <w:p w14:paraId="4C3DD97C" w14:textId="77777777" w:rsidR="008E3972" w:rsidRPr="009B7F9C" w:rsidRDefault="000178A2" w:rsidP="00653E1B">
            <w:pPr>
              <w:jc w:val="both"/>
              <w:rPr>
                <w:rFonts w:ascii="Arial" w:hAnsi="Arial" w:cs="Arial"/>
              </w:rPr>
            </w:pPr>
            <w:r w:rsidRPr="009B7F9C">
              <w:rPr>
                <w:rFonts w:ascii="Arial" w:hAnsi="Arial" w:cs="Arial"/>
              </w:rPr>
              <w:t>Introduction</w:t>
            </w:r>
          </w:p>
        </w:tc>
        <w:tc>
          <w:tcPr>
            <w:tcW w:w="4094" w:type="dxa"/>
          </w:tcPr>
          <w:p w14:paraId="7BCD4887" w14:textId="77777777" w:rsidR="008E3972" w:rsidRPr="009B7F9C" w:rsidRDefault="000178A2" w:rsidP="00653E1B">
            <w:pPr>
              <w:jc w:val="both"/>
              <w:rPr>
                <w:rFonts w:ascii="Arial" w:hAnsi="Arial" w:cs="Arial"/>
              </w:rPr>
            </w:pPr>
            <w:r w:rsidRPr="009B7F9C">
              <w:rPr>
                <w:rFonts w:ascii="Arial" w:hAnsi="Arial" w:cs="Arial"/>
              </w:rPr>
              <w:t>3</w:t>
            </w:r>
          </w:p>
        </w:tc>
      </w:tr>
      <w:tr w:rsidR="00AF3D7F" w:rsidRPr="009B7F9C" w14:paraId="1A0D38E7" w14:textId="77777777" w:rsidTr="004F30E2">
        <w:tc>
          <w:tcPr>
            <w:tcW w:w="5148" w:type="dxa"/>
          </w:tcPr>
          <w:p w14:paraId="5F881653" w14:textId="77777777" w:rsidR="00AF3D7F" w:rsidRPr="009B7F9C" w:rsidRDefault="00AF3D7F" w:rsidP="00653E1B">
            <w:pPr>
              <w:jc w:val="both"/>
              <w:rPr>
                <w:rFonts w:ascii="Arial" w:hAnsi="Arial" w:cs="Arial"/>
              </w:rPr>
            </w:pPr>
            <w:r w:rsidRPr="009B7F9C">
              <w:rPr>
                <w:rFonts w:ascii="Arial" w:hAnsi="Arial" w:cs="Arial"/>
              </w:rPr>
              <w:t>Communication Strategy</w:t>
            </w:r>
          </w:p>
        </w:tc>
        <w:tc>
          <w:tcPr>
            <w:tcW w:w="4094" w:type="dxa"/>
          </w:tcPr>
          <w:p w14:paraId="02CD539C" w14:textId="77777777" w:rsidR="00AF3D7F" w:rsidRPr="009B7F9C" w:rsidRDefault="00AF3D7F" w:rsidP="00653E1B">
            <w:pPr>
              <w:jc w:val="both"/>
              <w:rPr>
                <w:rFonts w:ascii="Arial" w:hAnsi="Arial" w:cs="Arial"/>
              </w:rPr>
            </w:pPr>
            <w:r w:rsidRPr="009B7F9C">
              <w:rPr>
                <w:rFonts w:ascii="Arial" w:hAnsi="Arial" w:cs="Arial"/>
              </w:rPr>
              <w:t>4</w:t>
            </w:r>
          </w:p>
        </w:tc>
      </w:tr>
      <w:tr w:rsidR="00AF3D7F" w:rsidRPr="009B7F9C" w14:paraId="5778258E" w14:textId="77777777" w:rsidTr="004F30E2">
        <w:tc>
          <w:tcPr>
            <w:tcW w:w="5148" w:type="dxa"/>
          </w:tcPr>
          <w:p w14:paraId="084CB65D" w14:textId="77777777" w:rsidR="00AF3D7F" w:rsidRPr="009B7F9C" w:rsidRDefault="00AF3D7F" w:rsidP="00653E1B">
            <w:pPr>
              <w:jc w:val="both"/>
              <w:rPr>
                <w:rFonts w:ascii="Arial" w:hAnsi="Arial" w:cs="Arial"/>
              </w:rPr>
            </w:pPr>
            <w:r w:rsidRPr="009B7F9C">
              <w:rPr>
                <w:rFonts w:ascii="Arial" w:hAnsi="Arial" w:cs="Arial"/>
              </w:rPr>
              <w:t>Equality Analysis</w:t>
            </w:r>
          </w:p>
        </w:tc>
        <w:tc>
          <w:tcPr>
            <w:tcW w:w="4094" w:type="dxa"/>
          </w:tcPr>
          <w:p w14:paraId="01FCB9FF" w14:textId="77777777" w:rsidR="00AF3D7F" w:rsidRPr="009B7F9C" w:rsidRDefault="00AF3D7F" w:rsidP="00653E1B">
            <w:pPr>
              <w:jc w:val="both"/>
              <w:rPr>
                <w:rFonts w:ascii="Arial" w:hAnsi="Arial" w:cs="Arial"/>
              </w:rPr>
            </w:pPr>
            <w:r w:rsidRPr="009B7F9C">
              <w:rPr>
                <w:rFonts w:ascii="Arial" w:hAnsi="Arial" w:cs="Arial"/>
              </w:rPr>
              <w:t>5</w:t>
            </w:r>
          </w:p>
        </w:tc>
      </w:tr>
      <w:tr w:rsidR="004F30E2" w:rsidRPr="009B7F9C" w14:paraId="03D0E8E8" w14:textId="77777777" w:rsidTr="004F30E2">
        <w:tc>
          <w:tcPr>
            <w:tcW w:w="5148" w:type="dxa"/>
          </w:tcPr>
          <w:p w14:paraId="3745A217" w14:textId="77777777" w:rsidR="004F30E2" w:rsidRPr="009B7F9C" w:rsidRDefault="000178A2" w:rsidP="000178A2">
            <w:pPr>
              <w:jc w:val="both"/>
              <w:rPr>
                <w:rFonts w:ascii="Arial" w:hAnsi="Arial" w:cs="Arial"/>
              </w:rPr>
            </w:pPr>
            <w:r w:rsidRPr="009B7F9C">
              <w:rPr>
                <w:rFonts w:ascii="Arial" w:hAnsi="Arial" w:cs="Arial"/>
              </w:rPr>
              <w:t>Exceptional Delivery Models</w:t>
            </w:r>
          </w:p>
        </w:tc>
        <w:tc>
          <w:tcPr>
            <w:tcW w:w="4094" w:type="dxa"/>
          </w:tcPr>
          <w:p w14:paraId="05680D3F" w14:textId="77777777" w:rsidR="004F30E2" w:rsidRPr="009B7F9C" w:rsidRDefault="00AF3D7F" w:rsidP="00653E1B">
            <w:pPr>
              <w:jc w:val="both"/>
              <w:rPr>
                <w:rFonts w:ascii="Arial" w:hAnsi="Arial" w:cs="Arial"/>
              </w:rPr>
            </w:pPr>
            <w:r w:rsidRPr="009B7F9C">
              <w:rPr>
                <w:rFonts w:ascii="Arial" w:hAnsi="Arial" w:cs="Arial"/>
              </w:rPr>
              <w:t>5</w:t>
            </w:r>
          </w:p>
        </w:tc>
      </w:tr>
      <w:tr w:rsidR="004F30E2" w:rsidRPr="009B7F9C" w14:paraId="61C175A4" w14:textId="77777777" w:rsidTr="004F30E2">
        <w:tc>
          <w:tcPr>
            <w:tcW w:w="5148" w:type="dxa"/>
          </w:tcPr>
          <w:p w14:paraId="0083B68C" w14:textId="77777777" w:rsidR="004F30E2" w:rsidRPr="009B7F9C" w:rsidRDefault="000178A2" w:rsidP="000178A2">
            <w:pPr>
              <w:jc w:val="both"/>
              <w:rPr>
                <w:rFonts w:ascii="Arial" w:hAnsi="Arial" w:cs="Arial"/>
              </w:rPr>
            </w:pPr>
            <w:r w:rsidRPr="009B7F9C">
              <w:rPr>
                <w:rFonts w:ascii="Arial" w:hAnsi="Arial" w:cs="Arial"/>
              </w:rPr>
              <w:t>Risk Assessments &amp; Operating Procedures</w:t>
            </w:r>
          </w:p>
        </w:tc>
        <w:tc>
          <w:tcPr>
            <w:tcW w:w="4094" w:type="dxa"/>
          </w:tcPr>
          <w:p w14:paraId="57FEB70E" w14:textId="77777777" w:rsidR="004F30E2" w:rsidRPr="009B7F9C" w:rsidRDefault="00AF3D7F" w:rsidP="00653E1B">
            <w:pPr>
              <w:jc w:val="both"/>
              <w:rPr>
                <w:rFonts w:ascii="Arial" w:hAnsi="Arial" w:cs="Arial"/>
              </w:rPr>
            </w:pPr>
            <w:r w:rsidRPr="009B7F9C">
              <w:rPr>
                <w:rFonts w:ascii="Arial" w:hAnsi="Arial" w:cs="Arial"/>
              </w:rPr>
              <w:t>6</w:t>
            </w:r>
          </w:p>
        </w:tc>
      </w:tr>
      <w:tr w:rsidR="004F30E2" w:rsidRPr="009B7F9C" w14:paraId="4EF61763" w14:textId="77777777" w:rsidTr="004F30E2">
        <w:tc>
          <w:tcPr>
            <w:tcW w:w="5148" w:type="dxa"/>
          </w:tcPr>
          <w:p w14:paraId="55CB0CE9" w14:textId="77777777" w:rsidR="004F30E2" w:rsidRPr="009B7F9C" w:rsidRDefault="000178A2" w:rsidP="000178A2">
            <w:pPr>
              <w:jc w:val="both"/>
              <w:rPr>
                <w:rFonts w:ascii="Arial" w:hAnsi="Arial" w:cs="Arial"/>
              </w:rPr>
            </w:pPr>
            <w:r w:rsidRPr="009B7F9C">
              <w:rPr>
                <w:rFonts w:ascii="Arial" w:hAnsi="Arial" w:cs="Arial"/>
              </w:rPr>
              <w:t>Resource Planning</w:t>
            </w:r>
          </w:p>
        </w:tc>
        <w:tc>
          <w:tcPr>
            <w:tcW w:w="4094" w:type="dxa"/>
          </w:tcPr>
          <w:p w14:paraId="69BB3BE8" w14:textId="77777777" w:rsidR="004F30E2" w:rsidRPr="009B7F9C" w:rsidRDefault="00AF3D7F" w:rsidP="00653E1B">
            <w:pPr>
              <w:jc w:val="both"/>
              <w:rPr>
                <w:rFonts w:ascii="Arial" w:hAnsi="Arial" w:cs="Arial"/>
              </w:rPr>
            </w:pPr>
            <w:r w:rsidRPr="009B7F9C">
              <w:rPr>
                <w:rFonts w:ascii="Arial" w:hAnsi="Arial" w:cs="Arial"/>
              </w:rPr>
              <w:t>6</w:t>
            </w:r>
          </w:p>
        </w:tc>
      </w:tr>
      <w:tr w:rsidR="004F30E2" w:rsidRPr="009B7F9C" w14:paraId="239FA0FD" w14:textId="77777777" w:rsidTr="004F30E2">
        <w:tc>
          <w:tcPr>
            <w:tcW w:w="5148" w:type="dxa"/>
          </w:tcPr>
          <w:p w14:paraId="51EBFE37" w14:textId="77777777" w:rsidR="004F30E2" w:rsidRPr="009B7F9C" w:rsidRDefault="000178A2" w:rsidP="000178A2">
            <w:pPr>
              <w:jc w:val="both"/>
              <w:rPr>
                <w:rFonts w:ascii="Arial" w:hAnsi="Arial" w:cs="Arial"/>
              </w:rPr>
            </w:pPr>
            <w:r w:rsidRPr="009B7F9C">
              <w:rPr>
                <w:rFonts w:ascii="Arial" w:hAnsi="Arial" w:cs="Arial"/>
              </w:rPr>
              <w:t>Operating Procedure Templates</w:t>
            </w:r>
          </w:p>
        </w:tc>
        <w:tc>
          <w:tcPr>
            <w:tcW w:w="4094" w:type="dxa"/>
          </w:tcPr>
          <w:p w14:paraId="6584683C" w14:textId="77777777" w:rsidR="004F30E2" w:rsidRPr="009B7F9C" w:rsidRDefault="00AF3D7F" w:rsidP="00653E1B">
            <w:pPr>
              <w:jc w:val="both"/>
              <w:rPr>
                <w:rFonts w:ascii="Arial" w:hAnsi="Arial" w:cs="Arial"/>
              </w:rPr>
            </w:pPr>
            <w:r w:rsidRPr="009B7F9C">
              <w:rPr>
                <w:rFonts w:ascii="Arial" w:hAnsi="Arial" w:cs="Arial"/>
              </w:rPr>
              <w:t>8</w:t>
            </w:r>
          </w:p>
        </w:tc>
      </w:tr>
      <w:tr w:rsidR="009C6E59" w:rsidRPr="009B7F9C" w14:paraId="2FB9556F" w14:textId="77777777" w:rsidTr="004F30E2">
        <w:tc>
          <w:tcPr>
            <w:tcW w:w="5148" w:type="dxa"/>
          </w:tcPr>
          <w:p w14:paraId="3DEFBF8F" w14:textId="7BC1E052" w:rsidR="009C6E59" w:rsidRPr="009B7F9C" w:rsidRDefault="009C6E59" w:rsidP="000178A2">
            <w:pPr>
              <w:jc w:val="both"/>
              <w:rPr>
                <w:rFonts w:ascii="Arial" w:hAnsi="Arial" w:cs="Arial"/>
              </w:rPr>
            </w:pPr>
          </w:p>
        </w:tc>
        <w:tc>
          <w:tcPr>
            <w:tcW w:w="4094" w:type="dxa"/>
          </w:tcPr>
          <w:p w14:paraId="3194ACE3" w14:textId="3ECDE473" w:rsidR="009C6E59" w:rsidRPr="009B7F9C" w:rsidRDefault="009C6E59" w:rsidP="00653E1B">
            <w:pPr>
              <w:jc w:val="both"/>
              <w:rPr>
                <w:rFonts w:ascii="Arial" w:hAnsi="Arial" w:cs="Arial"/>
              </w:rPr>
            </w:pPr>
          </w:p>
        </w:tc>
      </w:tr>
      <w:tr w:rsidR="0097594D" w:rsidRPr="009B7F9C" w14:paraId="534291F1" w14:textId="77777777" w:rsidTr="004F30E2">
        <w:tc>
          <w:tcPr>
            <w:tcW w:w="5148" w:type="dxa"/>
          </w:tcPr>
          <w:p w14:paraId="740F5C69" w14:textId="77777777" w:rsidR="0097594D" w:rsidRPr="009B7F9C" w:rsidRDefault="0097594D" w:rsidP="0097594D">
            <w:pPr>
              <w:jc w:val="both"/>
              <w:rPr>
                <w:rFonts w:ascii="Arial" w:hAnsi="Arial" w:cs="Arial"/>
              </w:rPr>
            </w:pPr>
          </w:p>
        </w:tc>
        <w:tc>
          <w:tcPr>
            <w:tcW w:w="4094" w:type="dxa"/>
          </w:tcPr>
          <w:p w14:paraId="0C59273A" w14:textId="77777777" w:rsidR="0097594D" w:rsidRPr="009B7F9C" w:rsidRDefault="0097594D" w:rsidP="00653E1B">
            <w:pPr>
              <w:jc w:val="both"/>
              <w:rPr>
                <w:rFonts w:ascii="Arial" w:hAnsi="Arial" w:cs="Arial"/>
              </w:rPr>
            </w:pPr>
          </w:p>
        </w:tc>
      </w:tr>
      <w:tr w:rsidR="004F30E2" w:rsidRPr="009B7F9C" w14:paraId="408D6FD3" w14:textId="77777777" w:rsidTr="004F30E2">
        <w:tc>
          <w:tcPr>
            <w:tcW w:w="5148" w:type="dxa"/>
          </w:tcPr>
          <w:p w14:paraId="3BE5BB65" w14:textId="77777777" w:rsidR="004F30E2" w:rsidRPr="009B7F9C" w:rsidRDefault="004F30E2" w:rsidP="00653E1B">
            <w:pPr>
              <w:jc w:val="both"/>
              <w:rPr>
                <w:rFonts w:ascii="Arial" w:hAnsi="Arial" w:cs="Arial"/>
              </w:rPr>
            </w:pPr>
          </w:p>
        </w:tc>
        <w:tc>
          <w:tcPr>
            <w:tcW w:w="4094" w:type="dxa"/>
          </w:tcPr>
          <w:p w14:paraId="7752DA4B" w14:textId="77777777" w:rsidR="004F30E2" w:rsidRPr="009B7F9C" w:rsidRDefault="004F30E2" w:rsidP="00653E1B">
            <w:pPr>
              <w:jc w:val="both"/>
              <w:rPr>
                <w:rFonts w:ascii="Arial" w:hAnsi="Arial" w:cs="Arial"/>
              </w:rPr>
            </w:pPr>
          </w:p>
        </w:tc>
      </w:tr>
      <w:tr w:rsidR="004F30E2" w:rsidRPr="009B7F9C" w14:paraId="6848D1DC" w14:textId="77777777" w:rsidTr="004F30E2">
        <w:tc>
          <w:tcPr>
            <w:tcW w:w="5148" w:type="dxa"/>
          </w:tcPr>
          <w:p w14:paraId="0D07BFCE" w14:textId="77777777" w:rsidR="004F30E2" w:rsidRPr="009B7F9C" w:rsidRDefault="004F30E2" w:rsidP="008E3972">
            <w:pPr>
              <w:ind w:left="720"/>
              <w:jc w:val="both"/>
              <w:rPr>
                <w:rFonts w:ascii="Arial" w:hAnsi="Arial" w:cs="Arial"/>
              </w:rPr>
            </w:pPr>
          </w:p>
        </w:tc>
        <w:tc>
          <w:tcPr>
            <w:tcW w:w="4094" w:type="dxa"/>
          </w:tcPr>
          <w:p w14:paraId="7D56069E" w14:textId="77777777" w:rsidR="004F30E2" w:rsidRPr="009B7F9C" w:rsidRDefault="004F30E2" w:rsidP="00653E1B">
            <w:pPr>
              <w:jc w:val="both"/>
              <w:rPr>
                <w:rFonts w:ascii="Arial" w:hAnsi="Arial" w:cs="Arial"/>
              </w:rPr>
            </w:pPr>
          </w:p>
        </w:tc>
      </w:tr>
      <w:tr w:rsidR="004F30E2" w:rsidRPr="009B7F9C" w14:paraId="449D8524" w14:textId="77777777" w:rsidTr="004F30E2">
        <w:tc>
          <w:tcPr>
            <w:tcW w:w="5148" w:type="dxa"/>
          </w:tcPr>
          <w:p w14:paraId="4CA7C581" w14:textId="77777777" w:rsidR="004F30E2" w:rsidRPr="009B7F9C" w:rsidRDefault="004F30E2" w:rsidP="008E3972">
            <w:pPr>
              <w:ind w:left="720"/>
              <w:jc w:val="both"/>
              <w:rPr>
                <w:rFonts w:ascii="Arial" w:hAnsi="Arial" w:cs="Arial"/>
              </w:rPr>
            </w:pPr>
          </w:p>
        </w:tc>
        <w:tc>
          <w:tcPr>
            <w:tcW w:w="4094" w:type="dxa"/>
          </w:tcPr>
          <w:p w14:paraId="5B50C4DF" w14:textId="77777777" w:rsidR="004F30E2" w:rsidRPr="009B7F9C" w:rsidRDefault="004F30E2" w:rsidP="00653E1B">
            <w:pPr>
              <w:jc w:val="both"/>
              <w:rPr>
                <w:rFonts w:ascii="Arial" w:hAnsi="Arial" w:cs="Arial"/>
              </w:rPr>
            </w:pPr>
          </w:p>
        </w:tc>
      </w:tr>
      <w:tr w:rsidR="004F30E2" w:rsidRPr="009B7F9C" w14:paraId="243C491D" w14:textId="77777777" w:rsidTr="004F30E2">
        <w:tc>
          <w:tcPr>
            <w:tcW w:w="5148" w:type="dxa"/>
          </w:tcPr>
          <w:p w14:paraId="6A097FA8" w14:textId="77777777" w:rsidR="004F30E2" w:rsidRPr="009B7F9C" w:rsidRDefault="004F30E2" w:rsidP="008E3972">
            <w:pPr>
              <w:ind w:left="720"/>
              <w:jc w:val="both"/>
              <w:rPr>
                <w:rFonts w:ascii="Arial" w:hAnsi="Arial" w:cs="Arial"/>
              </w:rPr>
            </w:pPr>
          </w:p>
        </w:tc>
        <w:tc>
          <w:tcPr>
            <w:tcW w:w="4094" w:type="dxa"/>
          </w:tcPr>
          <w:p w14:paraId="0973381C" w14:textId="77777777" w:rsidR="004F30E2" w:rsidRPr="009B7F9C" w:rsidRDefault="004F30E2" w:rsidP="00653E1B">
            <w:pPr>
              <w:jc w:val="both"/>
              <w:rPr>
                <w:rFonts w:ascii="Arial" w:hAnsi="Arial" w:cs="Arial"/>
              </w:rPr>
            </w:pPr>
          </w:p>
        </w:tc>
      </w:tr>
      <w:tr w:rsidR="004F30E2" w:rsidRPr="009B7F9C" w14:paraId="2BF20EDE" w14:textId="77777777" w:rsidTr="004F30E2">
        <w:tc>
          <w:tcPr>
            <w:tcW w:w="5148" w:type="dxa"/>
          </w:tcPr>
          <w:p w14:paraId="37CDA731" w14:textId="77777777" w:rsidR="004F30E2" w:rsidRPr="009B7F9C" w:rsidRDefault="004F30E2" w:rsidP="008E3972">
            <w:pPr>
              <w:ind w:left="720"/>
              <w:jc w:val="both"/>
              <w:rPr>
                <w:rFonts w:ascii="Arial" w:hAnsi="Arial" w:cs="Arial"/>
              </w:rPr>
            </w:pPr>
          </w:p>
        </w:tc>
        <w:tc>
          <w:tcPr>
            <w:tcW w:w="4094" w:type="dxa"/>
          </w:tcPr>
          <w:p w14:paraId="6793CB7B" w14:textId="77777777" w:rsidR="004F30E2" w:rsidRPr="009B7F9C" w:rsidRDefault="004F30E2" w:rsidP="00653E1B">
            <w:pPr>
              <w:jc w:val="both"/>
              <w:rPr>
                <w:rFonts w:ascii="Arial" w:hAnsi="Arial" w:cs="Arial"/>
              </w:rPr>
            </w:pPr>
          </w:p>
        </w:tc>
      </w:tr>
      <w:tr w:rsidR="004F30E2" w:rsidRPr="009B7F9C" w14:paraId="0670C518" w14:textId="77777777" w:rsidTr="004F30E2">
        <w:tc>
          <w:tcPr>
            <w:tcW w:w="5148" w:type="dxa"/>
          </w:tcPr>
          <w:p w14:paraId="003124AF" w14:textId="77777777" w:rsidR="004F30E2" w:rsidRPr="009B7F9C" w:rsidRDefault="004F30E2" w:rsidP="00653E1B">
            <w:pPr>
              <w:jc w:val="both"/>
              <w:rPr>
                <w:rFonts w:ascii="Arial" w:hAnsi="Arial" w:cs="Arial"/>
              </w:rPr>
            </w:pPr>
          </w:p>
        </w:tc>
        <w:tc>
          <w:tcPr>
            <w:tcW w:w="4094" w:type="dxa"/>
          </w:tcPr>
          <w:p w14:paraId="7858EC5E" w14:textId="77777777" w:rsidR="004F30E2" w:rsidRPr="009B7F9C" w:rsidRDefault="004F30E2" w:rsidP="00653E1B">
            <w:pPr>
              <w:jc w:val="both"/>
              <w:rPr>
                <w:rFonts w:ascii="Arial" w:hAnsi="Arial" w:cs="Arial"/>
              </w:rPr>
            </w:pPr>
          </w:p>
        </w:tc>
      </w:tr>
      <w:tr w:rsidR="004F30E2" w:rsidRPr="009B7F9C" w14:paraId="1FF19E7A" w14:textId="77777777" w:rsidTr="004F30E2">
        <w:tc>
          <w:tcPr>
            <w:tcW w:w="5148" w:type="dxa"/>
          </w:tcPr>
          <w:p w14:paraId="2F45DDA5" w14:textId="77777777" w:rsidR="004F30E2" w:rsidRPr="009B7F9C" w:rsidRDefault="004F30E2" w:rsidP="008E3972">
            <w:pPr>
              <w:ind w:left="720"/>
              <w:jc w:val="both"/>
              <w:rPr>
                <w:rFonts w:ascii="Arial" w:hAnsi="Arial" w:cs="Arial"/>
              </w:rPr>
            </w:pPr>
          </w:p>
        </w:tc>
        <w:tc>
          <w:tcPr>
            <w:tcW w:w="4094" w:type="dxa"/>
          </w:tcPr>
          <w:p w14:paraId="2654D810" w14:textId="77777777" w:rsidR="004F30E2" w:rsidRPr="009B7F9C" w:rsidRDefault="004F30E2" w:rsidP="00653E1B">
            <w:pPr>
              <w:jc w:val="both"/>
              <w:rPr>
                <w:rFonts w:ascii="Arial" w:hAnsi="Arial" w:cs="Arial"/>
              </w:rPr>
            </w:pPr>
          </w:p>
        </w:tc>
      </w:tr>
      <w:tr w:rsidR="004F30E2" w:rsidRPr="009B7F9C" w14:paraId="2BDC05BC" w14:textId="77777777" w:rsidTr="004F30E2">
        <w:tc>
          <w:tcPr>
            <w:tcW w:w="5148" w:type="dxa"/>
          </w:tcPr>
          <w:p w14:paraId="13597ECC" w14:textId="77777777" w:rsidR="008E3972" w:rsidRPr="009B7F9C" w:rsidRDefault="008E3972" w:rsidP="008E3972">
            <w:pPr>
              <w:ind w:left="720"/>
              <w:jc w:val="both"/>
              <w:rPr>
                <w:rFonts w:ascii="Arial" w:hAnsi="Arial" w:cs="Arial"/>
              </w:rPr>
            </w:pPr>
          </w:p>
        </w:tc>
        <w:tc>
          <w:tcPr>
            <w:tcW w:w="4094" w:type="dxa"/>
          </w:tcPr>
          <w:p w14:paraId="6B620EBB" w14:textId="77777777" w:rsidR="004F30E2" w:rsidRPr="009B7F9C" w:rsidRDefault="004F30E2" w:rsidP="00653E1B">
            <w:pPr>
              <w:jc w:val="both"/>
              <w:rPr>
                <w:rFonts w:ascii="Arial" w:hAnsi="Arial" w:cs="Arial"/>
              </w:rPr>
            </w:pPr>
          </w:p>
        </w:tc>
      </w:tr>
      <w:tr w:rsidR="004F30E2" w:rsidRPr="009B7F9C" w14:paraId="222C73A9" w14:textId="77777777" w:rsidTr="004F30E2">
        <w:tc>
          <w:tcPr>
            <w:tcW w:w="5148" w:type="dxa"/>
          </w:tcPr>
          <w:p w14:paraId="32D4C30E" w14:textId="77777777" w:rsidR="004F30E2" w:rsidRPr="009B7F9C" w:rsidRDefault="004F30E2" w:rsidP="008E3972">
            <w:pPr>
              <w:ind w:left="720"/>
              <w:jc w:val="both"/>
              <w:rPr>
                <w:rFonts w:ascii="Arial" w:hAnsi="Arial" w:cs="Arial"/>
              </w:rPr>
            </w:pPr>
          </w:p>
        </w:tc>
        <w:tc>
          <w:tcPr>
            <w:tcW w:w="4094" w:type="dxa"/>
          </w:tcPr>
          <w:p w14:paraId="274BCE0C" w14:textId="77777777" w:rsidR="004F30E2" w:rsidRPr="009B7F9C" w:rsidRDefault="004F30E2" w:rsidP="00653E1B">
            <w:pPr>
              <w:jc w:val="both"/>
              <w:rPr>
                <w:rFonts w:ascii="Arial" w:hAnsi="Arial" w:cs="Arial"/>
              </w:rPr>
            </w:pPr>
          </w:p>
        </w:tc>
      </w:tr>
      <w:tr w:rsidR="004F30E2" w:rsidRPr="009B7F9C" w14:paraId="0C20C97C" w14:textId="77777777" w:rsidTr="00021DEE">
        <w:trPr>
          <w:trHeight w:val="286"/>
        </w:trPr>
        <w:tc>
          <w:tcPr>
            <w:tcW w:w="5148" w:type="dxa"/>
          </w:tcPr>
          <w:p w14:paraId="1E5DD0F2" w14:textId="77777777" w:rsidR="004F30E2" w:rsidRPr="009B7F9C" w:rsidRDefault="004F30E2" w:rsidP="001F416C">
            <w:pPr>
              <w:ind w:left="720"/>
              <w:jc w:val="both"/>
              <w:rPr>
                <w:rFonts w:ascii="Arial" w:hAnsi="Arial" w:cs="Arial"/>
              </w:rPr>
            </w:pPr>
          </w:p>
        </w:tc>
        <w:tc>
          <w:tcPr>
            <w:tcW w:w="4094" w:type="dxa"/>
          </w:tcPr>
          <w:p w14:paraId="10259062" w14:textId="77777777" w:rsidR="004F30E2" w:rsidRPr="009B7F9C" w:rsidRDefault="004F30E2" w:rsidP="00653E1B">
            <w:pPr>
              <w:jc w:val="both"/>
              <w:rPr>
                <w:rFonts w:ascii="Arial" w:hAnsi="Arial" w:cs="Arial"/>
              </w:rPr>
            </w:pPr>
          </w:p>
        </w:tc>
      </w:tr>
    </w:tbl>
    <w:p w14:paraId="60DE5144" w14:textId="77777777" w:rsidR="00C04179" w:rsidRPr="009B7F9C" w:rsidRDefault="00C04179" w:rsidP="00653E1B">
      <w:pPr>
        <w:jc w:val="both"/>
        <w:rPr>
          <w:rFonts w:ascii="Arial" w:hAnsi="Arial" w:cs="Arial"/>
          <w:b/>
        </w:rPr>
      </w:pPr>
    </w:p>
    <w:p w14:paraId="4BE098E3" w14:textId="77777777" w:rsidR="00C04179" w:rsidRPr="009B7F9C" w:rsidRDefault="00C04179" w:rsidP="00653E1B">
      <w:pPr>
        <w:jc w:val="both"/>
        <w:rPr>
          <w:rFonts w:ascii="Arial" w:hAnsi="Arial" w:cs="Arial"/>
          <w:b/>
        </w:rPr>
      </w:pPr>
    </w:p>
    <w:p w14:paraId="0256079F" w14:textId="77777777" w:rsidR="00C04179" w:rsidRPr="009B7F9C" w:rsidRDefault="00C04179" w:rsidP="00653E1B">
      <w:pPr>
        <w:jc w:val="both"/>
        <w:rPr>
          <w:rFonts w:ascii="Arial" w:hAnsi="Arial" w:cs="Arial"/>
          <w:b/>
        </w:rPr>
      </w:pPr>
    </w:p>
    <w:p w14:paraId="396F195B" w14:textId="77777777" w:rsidR="00C04179" w:rsidRPr="009B7F9C" w:rsidRDefault="00C04179" w:rsidP="00653E1B">
      <w:pPr>
        <w:jc w:val="both"/>
        <w:rPr>
          <w:rFonts w:ascii="Arial" w:hAnsi="Arial" w:cs="Arial"/>
          <w:b/>
        </w:rPr>
      </w:pPr>
    </w:p>
    <w:p w14:paraId="762C938C" w14:textId="77777777" w:rsidR="00C04179" w:rsidRPr="009B7F9C" w:rsidRDefault="00C04179" w:rsidP="00653E1B">
      <w:pPr>
        <w:jc w:val="both"/>
        <w:rPr>
          <w:rFonts w:ascii="Arial" w:hAnsi="Arial" w:cs="Arial"/>
          <w:b/>
        </w:rPr>
      </w:pPr>
    </w:p>
    <w:p w14:paraId="27254A63" w14:textId="77777777" w:rsidR="00C04179" w:rsidRPr="009B7F9C" w:rsidRDefault="00C04179" w:rsidP="00653E1B">
      <w:pPr>
        <w:jc w:val="both"/>
        <w:rPr>
          <w:rFonts w:ascii="Arial" w:hAnsi="Arial" w:cs="Arial"/>
          <w:b/>
        </w:rPr>
      </w:pPr>
    </w:p>
    <w:p w14:paraId="5CA37A6D" w14:textId="77777777" w:rsidR="00C04179" w:rsidRPr="009B7F9C" w:rsidRDefault="00C04179" w:rsidP="00653E1B">
      <w:pPr>
        <w:jc w:val="both"/>
        <w:rPr>
          <w:rFonts w:ascii="Arial" w:hAnsi="Arial" w:cs="Arial"/>
          <w:b/>
        </w:rPr>
      </w:pPr>
    </w:p>
    <w:p w14:paraId="069C85DC" w14:textId="77777777" w:rsidR="00C04179" w:rsidRPr="009B7F9C" w:rsidRDefault="00C04179" w:rsidP="00653E1B">
      <w:pPr>
        <w:jc w:val="both"/>
        <w:rPr>
          <w:rFonts w:ascii="Arial" w:hAnsi="Arial" w:cs="Arial"/>
          <w:b/>
        </w:rPr>
      </w:pPr>
    </w:p>
    <w:p w14:paraId="3DC80FBB" w14:textId="77777777" w:rsidR="00C04179" w:rsidRPr="009B7F9C" w:rsidRDefault="00C04179" w:rsidP="00653E1B">
      <w:pPr>
        <w:jc w:val="both"/>
        <w:rPr>
          <w:rFonts w:ascii="Arial" w:hAnsi="Arial" w:cs="Arial"/>
          <w:b/>
        </w:rPr>
      </w:pPr>
    </w:p>
    <w:p w14:paraId="3F10455C" w14:textId="77777777" w:rsidR="00C04179" w:rsidRPr="009B7F9C" w:rsidRDefault="00C04179" w:rsidP="00653E1B">
      <w:pPr>
        <w:jc w:val="both"/>
        <w:rPr>
          <w:rFonts w:ascii="Arial" w:hAnsi="Arial" w:cs="Arial"/>
          <w:b/>
        </w:rPr>
      </w:pPr>
    </w:p>
    <w:p w14:paraId="6E41BEC0" w14:textId="77777777" w:rsidR="004F30E2" w:rsidRPr="009B7F9C" w:rsidRDefault="004F30E2" w:rsidP="00653E1B">
      <w:pPr>
        <w:jc w:val="both"/>
        <w:rPr>
          <w:rFonts w:ascii="Arial" w:hAnsi="Arial" w:cs="Arial"/>
          <w:b/>
        </w:rPr>
      </w:pPr>
    </w:p>
    <w:p w14:paraId="6B3FADE7" w14:textId="77777777" w:rsidR="004F30E2" w:rsidRPr="009B7F9C" w:rsidRDefault="004F30E2" w:rsidP="00653E1B">
      <w:pPr>
        <w:jc w:val="both"/>
        <w:rPr>
          <w:rFonts w:ascii="Arial" w:hAnsi="Arial" w:cs="Arial"/>
          <w:b/>
        </w:rPr>
      </w:pPr>
    </w:p>
    <w:p w14:paraId="04FF7553" w14:textId="77777777" w:rsidR="004F30E2" w:rsidRPr="009B7F9C" w:rsidRDefault="004F30E2" w:rsidP="00653E1B">
      <w:pPr>
        <w:jc w:val="both"/>
        <w:rPr>
          <w:rFonts w:ascii="Arial" w:hAnsi="Arial" w:cs="Arial"/>
          <w:b/>
        </w:rPr>
      </w:pPr>
    </w:p>
    <w:p w14:paraId="5744B51C" w14:textId="77777777" w:rsidR="004F30E2" w:rsidRPr="009B7F9C" w:rsidRDefault="004F30E2" w:rsidP="00653E1B">
      <w:pPr>
        <w:jc w:val="both"/>
        <w:rPr>
          <w:rFonts w:ascii="Arial" w:hAnsi="Arial" w:cs="Arial"/>
          <w:b/>
        </w:rPr>
      </w:pPr>
    </w:p>
    <w:p w14:paraId="01E4E9B6" w14:textId="77777777" w:rsidR="0011206A" w:rsidRPr="009B7F9C" w:rsidRDefault="0011206A" w:rsidP="00653E1B">
      <w:pPr>
        <w:jc w:val="both"/>
        <w:rPr>
          <w:rFonts w:ascii="Arial" w:hAnsi="Arial" w:cs="Arial"/>
          <w:b/>
        </w:rPr>
        <w:sectPr w:rsidR="0011206A" w:rsidRPr="009B7F9C" w:rsidSect="00C04179">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45E6AC3B" w14:textId="77777777" w:rsidR="00403BCF" w:rsidRPr="009B7F9C" w:rsidRDefault="00C04179" w:rsidP="00653E1B">
      <w:pPr>
        <w:jc w:val="both"/>
        <w:rPr>
          <w:rFonts w:ascii="Arial" w:hAnsi="Arial" w:cs="Arial"/>
          <w:b/>
          <w:color w:val="7030A0"/>
          <w:sz w:val="44"/>
          <w:szCs w:val="44"/>
        </w:rPr>
      </w:pPr>
      <w:r w:rsidRPr="009B7F9C">
        <w:rPr>
          <w:rFonts w:ascii="Arial" w:hAnsi="Arial" w:cs="Arial"/>
          <w:b/>
          <w:color w:val="7030A0"/>
          <w:sz w:val="44"/>
          <w:szCs w:val="44"/>
        </w:rPr>
        <w:lastRenderedPageBreak/>
        <w:t>Introduction</w:t>
      </w:r>
    </w:p>
    <w:p w14:paraId="3D6A275B" w14:textId="77777777" w:rsidR="00C55DB5" w:rsidRPr="009B7F9C" w:rsidRDefault="00C55DB5" w:rsidP="00C55DB5">
      <w:pPr>
        <w:spacing w:line="240" w:lineRule="auto"/>
        <w:jc w:val="both"/>
        <w:rPr>
          <w:rFonts w:ascii="Arial" w:hAnsi="Arial" w:cs="Arial"/>
          <w:szCs w:val="24"/>
        </w:rPr>
      </w:pPr>
      <w:r w:rsidRPr="009B7F9C">
        <w:rPr>
          <w:rFonts w:ascii="Arial" w:hAnsi="Arial" w:cs="Arial"/>
          <w:szCs w:val="24"/>
        </w:rPr>
        <w:t xml:space="preserve">In response to the threat of Covid-19, the Ministry of Justice (MoJ) and Her Majesty’s Prison and Probation Service (HMPPS) took decisive action to monitor, manage and mitigate the threat of large numbers of staff and prisoners becoming infected with COVID-19 and to reduce the likelihood of the infection spreading through the prison system. </w:t>
      </w:r>
    </w:p>
    <w:p w14:paraId="2C74A953" w14:textId="240C31E3" w:rsidR="00C55DB5" w:rsidRPr="009B7F9C" w:rsidRDefault="00C55DB5" w:rsidP="00C55DB5">
      <w:pPr>
        <w:spacing w:line="240" w:lineRule="auto"/>
        <w:jc w:val="both"/>
        <w:rPr>
          <w:rFonts w:ascii="Arial" w:hAnsi="Arial" w:cs="Arial"/>
          <w:szCs w:val="24"/>
        </w:rPr>
      </w:pPr>
      <w:r w:rsidRPr="009B7F9C">
        <w:rPr>
          <w:rFonts w:ascii="Arial" w:hAnsi="Arial" w:cs="Arial"/>
          <w:szCs w:val="24"/>
        </w:rPr>
        <w:t xml:space="preserve">This involved restricting regimes to implement social distancing, as set out in the </w:t>
      </w:r>
      <w:bookmarkStart w:id="0" w:name="_Hlk40359859"/>
      <w:r w:rsidRPr="009B7F9C">
        <w:rPr>
          <w:rFonts w:ascii="Arial" w:hAnsi="Arial" w:cs="Arial"/>
          <w:szCs w:val="24"/>
        </w:rPr>
        <w:t>Exceptional Regime Management Plan</w:t>
      </w:r>
      <w:bookmarkEnd w:id="0"/>
      <w:r w:rsidRPr="009B7F9C">
        <w:rPr>
          <w:rFonts w:ascii="Arial" w:hAnsi="Arial" w:cs="Arial"/>
          <w:szCs w:val="24"/>
        </w:rPr>
        <w:t xml:space="preserve">, limiting movement of prisoners between prisons, </w:t>
      </w:r>
      <w:r w:rsidRPr="009B7F9C" w:rsidDel="009869D7">
        <w:rPr>
          <w:rFonts w:ascii="Arial" w:hAnsi="Arial" w:cs="Arial"/>
          <w:szCs w:val="24"/>
        </w:rPr>
        <w:t xml:space="preserve">and </w:t>
      </w:r>
      <w:r w:rsidRPr="009B7F9C">
        <w:rPr>
          <w:rFonts w:ascii="Arial" w:hAnsi="Arial" w:cs="Arial"/>
          <w:szCs w:val="24"/>
        </w:rPr>
        <w:t>starting a programme of work to compartmentalise the estate to isolate symptomatic priso</w:t>
      </w:r>
      <w:r w:rsidR="00BF623E" w:rsidRPr="009B7F9C">
        <w:rPr>
          <w:rFonts w:ascii="Arial" w:hAnsi="Arial" w:cs="Arial"/>
          <w:szCs w:val="24"/>
        </w:rPr>
        <w:t>ners, shield the vulnerable,</w:t>
      </w:r>
      <w:r w:rsidRPr="009B7F9C">
        <w:rPr>
          <w:rFonts w:ascii="Arial" w:hAnsi="Arial" w:cs="Arial"/>
          <w:szCs w:val="24"/>
        </w:rPr>
        <w:t xml:space="preserve"> quarantine new entrants</w:t>
      </w:r>
      <w:r w:rsidR="00BF623E" w:rsidRPr="009B7F9C">
        <w:rPr>
          <w:rFonts w:ascii="Arial" w:hAnsi="Arial" w:cs="Arial"/>
          <w:szCs w:val="24"/>
        </w:rPr>
        <w:t xml:space="preserve"> and protect staff</w:t>
      </w:r>
      <w:r w:rsidRPr="009B7F9C">
        <w:rPr>
          <w:rFonts w:ascii="Arial" w:hAnsi="Arial" w:cs="Arial"/>
          <w:szCs w:val="24"/>
        </w:rPr>
        <w:t>.</w:t>
      </w:r>
    </w:p>
    <w:p w14:paraId="248DBE07" w14:textId="77777777" w:rsidR="00265523" w:rsidRPr="009B7F9C" w:rsidRDefault="00265523" w:rsidP="00265523">
      <w:pPr>
        <w:spacing w:line="240" w:lineRule="auto"/>
        <w:jc w:val="both"/>
        <w:rPr>
          <w:rFonts w:ascii="Arial" w:hAnsi="Arial" w:cs="Arial"/>
          <w:szCs w:val="24"/>
        </w:rPr>
      </w:pPr>
      <w:r w:rsidRPr="009B7F9C">
        <w:rPr>
          <w:rFonts w:ascii="Arial" w:hAnsi="Arial" w:cs="Arial"/>
          <w:szCs w:val="24"/>
        </w:rPr>
        <w:t>Similar to the lifting of restrictions in the community, the re-opening of prison regime will be guided by our 3 Core Objectives:</w:t>
      </w:r>
    </w:p>
    <w:p w14:paraId="6CBFD800" w14:textId="77777777" w:rsidR="00265523" w:rsidRPr="009B7F9C" w:rsidRDefault="00265523" w:rsidP="00265523">
      <w:pPr>
        <w:pStyle w:val="ListParagraph"/>
        <w:numPr>
          <w:ilvl w:val="0"/>
          <w:numId w:val="31"/>
        </w:numPr>
        <w:spacing w:line="240" w:lineRule="auto"/>
        <w:jc w:val="both"/>
        <w:rPr>
          <w:rFonts w:ascii="Arial" w:hAnsi="Arial" w:cs="Arial"/>
        </w:rPr>
      </w:pPr>
      <w:r w:rsidRPr="009B7F9C">
        <w:rPr>
          <w:rFonts w:ascii="Arial" w:hAnsi="Arial" w:cs="Arial"/>
          <w:b/>
          <w:bCs/>
          <w:szCs w:val="24"/>
        </w:rPr>
        <w:t>Preserve Life:</w:t>
      </w:r>
      <w:r w:rsidRPr="009B7F9C">
        <w:rPr>
          <w:rFonts w:ascii="Arial" w:hAnsi="Arial" w:cs="Arial"/>
          <w:szCs w:val="24"/>
        </w:rPr>
        <w:t xml:space="preserve"> </w:t>
      </w:r>
      <w:r w:rsidRPr="009B7F9C">
        <w:rPr>
          <w:rFonts w:ascii="Arial" w:hAnsi="Arial" w:cs="Arial"/>
        </w:rPr>
        <w:t>To continue to protect our staff, the public, and offenders in our care by minimising deaths and hospitalisations, ensuring continued access to healthcare, and protecting the NHS from explosive outbreaks.</w:t>
      </w:r>
      <w:r w:rsidRPr="009B7F9C">
        <w:rPr>
          <w:rFonts w:ascii="Arial" w:hAnsi="Arial" w:cs="Arial"/>
          <w:b/>
          <w:bCs/>
        </w:rPr>
        <w:t xml:space="preserve"> </w:t>
      </w:r>
    </w:p>
    <w:p w14:paraId="16CE6074" w14:textId="77777777" w:rsidR="00265523" w:rsidRPr="009B7F9C" w:rsidRDefault="00265523" w:rsidP="00265523">
      <w:pPr>
        <w:pStyle w:val="ListParagraph"/>
        <w:numPr>
          <w:ilvl w:val="0"/>
          <w:numId w:val="31"/>
        </w:numPr>
        <w:spacing w:line="240" w:lineRule="auto"/>
        <w:jc w:val="both"/>
        <w:rPr>
          <w:rFonts w:ascii="Arial" w:hAnsi="Arial" w:cs="Arial"/>
        </w:rPr>
      </w:pPr>
      <w:r w:rsidRPr="009B7F9C">
        <w:rPr>
          <w:rFonts w:ascii="Arial" w:hAnsi="Arial" w:cs="Arial"/>
          <w:b/>
          <w:bCs/>
          <w:szCs w:val="24"/>
        </w:rPr>
        <w:t>Maintain Security, stability and Safety in the broadest sense:</w:t>
      </w:r>
      <w:r w:rsidRPr="009B7F9C">
        <w:rPr>
          <w:rFonts w:eastAsiaTheme="minorEastAsia" w:hAnsi="Arial"/>
          <w:color w:val="FFFFFF" w:themeColor="light1"/>
          <w:kern w:val="24"/>
          <w:sz w:val="32"/>
          <w:szCs w:val="32"/>
          <w:lang w:eastAsia="en-GB"/>
        </w:rPr>
        <w:t xml:space="preserve"> </w:t>
      </w:r>
      <w:r w:rsidRPr="009B7F9C">
        <w:rPr>
          <w:rFonts w:ascii="Arial" w:hAnsi="Arial" w:cs="Arial"/>
        </w:rPr>
        <w:t xml:space="preserve">To ensure the ongoing stability and safety of the estate, including risk to disorder, violence, suicide &amp; self-harm levels, escapes, protecting the public, and sufficient staff confidence to deliver regimes and rehabilitative activities as intended. </w:t>
      </w:r>
    </w:p>
    <w:p w14:paraId="0656FDB6" w14:textId="77777777" w:rsidR="00265523" w:rsidRPr="009B7F9C" w:rsidRDefault="00265523" w:rsidP="00265523">
      <w:pPr>
        <w:pStyle w:val="ListParagraph"/>
        <w:numPr>
          <w:ilvl w:val="0"/>
          <w:numId w:val="31"/>
        </w:numPr>
        <w:spacing w:line="240" w:lineRule="auto"/>
        <w:jc w:val="both"/>
        <w:rPr>
          <w:rFonts w:ascii="Arial" w:hAnsi="Arial" w:cs="Arial"/>
          <w:szCs w:val="24"/>
        </w:rPr>
      </w:pPr>
      <w:r w:rsidRPr="009B7F9C">
        <w:rPr>
          <w:rFonts w:ascii="Arial" w:hAnsi="Arial" w:cs="Arial"/>
          <w:b/>
          <w:bCs/>
          <w:szCs w:val="24"/>
        </w:rPr>
        <w:t>Provide Sufficient Capacity:</w:t>
      </w:r>
      <w:r w:rsidRPr="009B7F9C">
        <w:rPr>
          <w:rFonts w:eastAsiaTheme="minorEastAsia" w:hAnsi="Arial"/>
          <w:color w:val="FFFFFF" w:themeColor="light1"/>
          <w:kern w:val="24"/>
          <w:sz w:val="32"/>
          <w:szCs w:val="32"/>
        </w:rPr>
        <w:t xml:space="preserve"> </w:t>
      </w:r>
      <w:r w:rsidRPr="009B7F9C">
        <w:rPr>
          <w:rFonts w:ascii="Arial" w:hAnsi="Arial" w:cs="Arial"/>
          <w:szCs w:val="24"/>
        </w:rPr>
        <w:t>Ensuring that we have enough space to receive from the courts and sufficient capacity to meet overall demand, as well as sufficient staffing and resource to run establishments.</w:t>
      </w:r>
    </w:p>
    <w:p w14:paraId="129091C6" w14:textId="77777777" w:rsidR="00C55DB5" w:rsidRPr="009B7F9C" w:rsidRDefault="00C55DB5" w:rsidP="00C55DB5">
      <w:pPr>
        <w:spacing w:line="240" w:lineRule="auto"/>
        <w:jc w:val="both"/>
        <w:rPr>
          <w:rFonts w:ascii="Arial" w:hAnsi="Arial" w:cs="Arial"/>
          <w:szCs w:val="24"/>
        </w:rPr>
      </w:pPr>
      <w:r w:rsidRPr="009B7F9C">
        <w:rPr>
          <w:rFonts w:ascii="Arial" w:hAnsi="Arial" w:cs="Arial"/>
          <w:szCs w:val="24"/>
        </w:rPr>
        <w:t>Under the National Recovery Framework there will be a five stage model of different regime stages which will guide establishments from stage 5 (complete lockdown) back to stage 1 (prepare), which will be mirror ‘business as usual’ operation with no known infections of COVID-19, regimes operating without restrictions.</w:t>
      </w:r>
    </w:p>
    <w:p w14:paraId="4F350A62" w14:textId="77777777" w:rsidR="00C55DB5" w:rsidRPr="009B7F9C" w:rsidRDefault="00C55DB5" w:rsidP="00C55DB5">
      <w:pPr>
        <w:spacing w:line="240" w:lineRule="auto"/>
        <w:jc w:val="both"/>
        <w:rPr>
          <w:rFonts w:ascii="Arial" w:hAnsi="Arial" w:cs="Arial"/>
          <w:szCs w:val="24"/>
        </w:rPr>
      </w:pPr>
      <w:r w:rsidRPr="009B7F9C">
        <w:rPr>
          <w:rFonts w:ascii="Arial" w:hAnsi="Arial" w:cs="Arial"/>
          <w:noProof/>
          <w:szCs w:val="24"/>
          <w:lang w:eastAsia="en-GB"/>
        </w:rPr>
        <w:drawing>
          <wp:inline distT="0" distB="0" distL="0" distR="0" wp14:anchorId="2871E7E2" wp14:editId="34D9A32B">
            <wp:extent cx="5741562" cy="3664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1171" cy="3670718"/>
                    </a:xfrm>
                    <a:prstGeom prst="rect">
                      <a:avLst/>
                    </a:prstGeom>
                    <a:noFill/>
                  </pic:spPr>
                </pic:pic>
              </a:graphicData>
            </a:graphic>
          </wp:inline>
        </w:drawing>
      </w:r>
    </w:p>
    <w:p w14:paraId="5A7BC2D0" w14:textId="03B1DC46" w:rsidR="00C55DB5" w:rsidRPr="009B7F9C" w:rsidRDefault="00AF3D7F" w:rsidP="00AF3D7F">
      <w:pPr>
        <w:spacing w:line="240" w:lineRule="auto"/>
        <w:jc w:val="both"/>
        <w:rPr>
          <w:rFonts w:ascii="Arial" w:hAnsi="Arial" w:cs="Arial"/>
          <w:szCs w:val="24"/>
        </w:rPr>
      </w:pPr>
      <w:r w:rsidRPr="009B7F9C">
        <w:rPr>
          <w:rFonts w:ascii="Arial" w:hAnsi="Arial" w:cs="Arial"/>
          <w:szCs w:val="24"/>
        </w:rPr>
        <w:lastRenderedPageBreak/>
        <w:t>T</w:t>
      </w:r>
      <w:r w:rsidR="00C55DB5" w:rsidRPr="009B7F9C">
        <w:rPr>
          <w:rFonts w:ascii="Arial" w:hAnsi="Arial" w:cs="Arial"/>
          <w:szCs w:val="24"/>
        </w:rPr>
        <w:t xml:space="preserve">his </w:t>
      </w:r>
      <w:r w:rsidRPr="009B7F9C">
        <w:rPr>
          <w:rFonts w:ascii="Arial" w:hAnsi="Arial" w:cs="Arial"/>
          <w:szCs w:val="24"/>
        </w:rPr>
        <w:t xml:space="preserve">guidance </w:t>
      </w:r>
      <w:r w:rsidR="00C55DB5" w:rsidRPr="009B7F9C">
        <w:rPr>
          <w:rFonts w:ascii="Arial" w:hAnsi="Arial" w:cs="Arial"/>
          <w:szCs w:val="24"/>
        </w:rPr>
        <w:t>is intended to help support governors make decisions locally, within the National Framework, and identifies the areas of the regime that should be prioritised. It will ensure we have a rigorous, evidenced and data-driven basis for decisions</w:t>
      </w:r>
      <w:r w:rsidR="00A4279E" w:rsidRPr="009B7F9C">
        <w:rPr>
          <w:rFonts w:ascii="Arial" w:hAnsi="Arial" w:cs="Arial"/>
          <w:szCs w:val="24"/>
        </w:rPr>
        <w:t xml:space="preserve"> and that resources are appropriately identified to support delivery of the regime</w:t>
      </w:r>
      <w:r w:rsidR="00C55DB5" w:rsidRPr="009B7F9C">
        <w:rPr>
          <w:rFonts w:ascii="Arial" w:hAnsi="Arial" w:cs="Arial"/>
          <w:szCs w:val="24"/>
        </w:rPr>
        <w:t>.</w:t>
      </w:r>
      <w:r w:rsidR="00160189" w:rsidRPr="009B7F9C">
        <w:rPr>
          <w:rFonts w:ascii="Arial" w:hAnsi="Arial" w:cs="Arial"/>
          <w:szCs w:val="24"/>
        </w:rPr>
        <w:t xml:space="preserve"> All regimes must comply with the Prison Act 1952, the Prison Rules 1999, YOI Rules 2000, the Human Rights Act 1998</w:t>
      </w:r>
      <w:r w:rsidR="00BF623E" w:rsidRPr="009B7F9C">
        <w:rPr>
          <w:rFonts w:ascii="Arial" w:hAnsi="Arial" w:cs="Arial"/>
          <w:szCs w:val="24"/>
        </w:rPr>
        <w:t>, the Health and Safety at Work Act</w:t>
      </w:r>
      <w:r w:rsidR="00160189" w:rsidRPr="009B7F9C">
        <w:rPr>
          <w:rFonts w:ascii="Arial" w:hAnsi="Arial" w:cs="Arial"/>
          <w:szCs w:val="24"/>
        </w:rPr>
        <w:t xml:space="preserve"> and the wider legal framework.</w:t>
      </w:r>
    </w:p>
    <w:p w14:paraId="58ED7A4E" w14:textId="5D2F9F33" w:rsidR="00A57FA8" w:rsidRPr="009B7F9C" w:rsidRDefault="00C55DB5" w:rsidP="00C55DB5">
      <w:pPr>
        <w:spacing w:line="240" w:lineRule="auto"/>
        <w:jc w:val="both"/>
        <w:rPr>
          <w:rFonts w:ascii="Arial" w:hAnsi="Arial" w:cs="Arial"/>
          <w:szCs w:val="24"/>
        </w:rPr>
      </w:pPr>
      <w:r w:rsidRPr="009B7F9C">
        <w:rPr>
          <w:rFonts w:ascii="Arial" w:hAnsi="Arial" w:cs="Arial"/>
          <w:szCs w:val="24"/>
        </w:rPr>
        <w:t xml:space="preserve">Different prisons will be assessed as being ready for different Regime Stages, and may move in different directions over time. Progress will be incremental, particularly when transitioning to a lower stage; rather than an overnight adoption of all aspects of the relevant regime for that Stage, they will be fully realised over time. Prisons will move up or down the stages in response to local conditions such as an outbreak of infection in the prison or the community, or rates of staff absence. Regimes </w:t>
      </w:r>
      <w:r w:rsidR="00BF623E" w:rsidRPr="009B7F9C">
        <w:rPr>
          <w:rFonts w:ascii="Arial" w:hAnsi="Arial" w:cs="Arial"/>
          <w:szCs w:val="24"/>
        </w:rPr>
        <w:t>will</w:t>
      </w:r>
      <w:r w:rsidRPr="009B7F9C">
        <w:rPr>
          <w:rFonts w:ascii="Arial" w:hAnsi="Arial" w:cs="Arial"/>
          <w:szCs w:val="24"/>
        </w:rPr>
        <w:t xml:space="preserve"> be requ</w:t>
      </w:r>
      <w:r w:rsidR="00BF623E" w:rsidRPr="009B7F9C">
        <w:rPr>
          <w:rFonts w:ascii="Arial" w:hAnsi="Arial" w:cs="Arial"/>
          <w:szCs w:val="24"/>
        </w:rPr>
        <w:t>ired to go straight back into (S</w:t>
      </w:r>
      <w:r w:rsidRPr="009B7F9C">
        <w:rPr>
          <w:rFonts w:ascii="Arial" w:hAnsi="Arial" w:cs="Arial"/>
          <w:szCs w:val="24"/>
        </w:rPr>
        <w:t xml:space="preserve">tage 4) lockdown from lower stages where advised by Outbreak Control Teams or directed by HMPPS centrally. </w:t>
      </w:r>
    </w:p>
    <w:p w14:paraId="2979ECE3" w14:textId="77777777" w:rsidR="004F5C9C" w:rsidRPr="009B7F9C" w:rsidRDefault="004F5C9C" w:rsidP="00C55DB5">
      <w:pPr>
        <w:spacing w:line="240" w:lineRule="auto"/>
        <w:jc w:val="both"/>
        <w:rPr>
          <w:rFonts w:ascii="Arial" w:hAnsi="Arial" w:cs="Arial"/>
          <w:b/>
          <w:color w:val="7030A0"/>
          <w:sz w:val="44"/>
          <w:szCs w:val="44"/>
        </w:rPr>
      </w:pPr>
      <w:r w:rsidRPr="009B7F9C">
        <w:rPr>
          <w:rFonts w:ascii="Arial" w:hAnsi="Arial" w:cs="Arial"/>
          <w:b/>
          <w:color w:val="7030A0"/>
          <w:sz w:val="44"/>
          <w:szCs w:val="44"/>
        </w:rPr>
        <w:t>Communication Strategy</w:t>
      </w:r>
    </w:p>
    <w:p w14:paraId="45817F2E" w14:textId="77777777" w:rsidR="004F5C9C" w:rsidRPr="009B7F9C" w:rsidRDefault="004F5C9C" w:rsidP="004F5C9C">
      <w:pPr>
        <w:kinsoku w:val="0"/>
        <w:overflowPunct w:val="0"/>
        <w:spacing w:before="240" w:after="160" w:line="256" w:lineRule="auto"/>
        <w:jc w:val="both"/>
        <w:textAlignment w:val="baseline"/>
        <w:rPr>
          <w:rFonts w:ascii="Times New Roman" w:eastAsia="Times New Roman" w:hAnsi="Times New Roman" w:cs="Times New Roman"/>
          <w:lang w:eastAsia="en-GB"/>
        </w:rPr>
      </w:pPr>
      <w:r w:rsidRPr="009B7F9C">
        <w:rPr>
          <w:rFonts w:ascii="Arial" w:eastAsia="Calibri" w:hAnsi="Arial" w:cs="Times New Roman"/>
          <w:color w:val="000000"/>
          <w:kern w:val="24"/>
          <w:lang w:eastAsia="en-GB"/>
        </w:rPr>
        <w:t xml:space="preserve">As enablers for our objectives, we will need to </w:t>
      </w:r>
      <w:r w:rsidRPr="009B7F9C">
        <w:rPr>
          <w:rFonts w:ascii="Arial" w:eastAsia="Calibri" w:hAnsi="Arial" w:cs="Times New Roman"/>
          <w:b/>
          <w:bCs/>
          <w:color w:val="000000"/>
          <w:kern w:val="24"/>
          <w:lang w:eastAsia="en-GB"/>
        </w:rPr>
        <w:t xml:space="preserve">ensure buy-in </w:t>
      </w:r>
      <w:r w:rsidRPr="009B7F9C">
        <w:rPr>
          <w:rFonts w:ascii="Arial" w:eastAsia="Calibri" w:hAnsi="Arial" w:cs="Times New Roman"/>
          <w:color w:val="000000"/>
          <w:kern w:val="24"/>
          <w:lang w:eastAsia="en-GB"/>
        </w:rPr>
        <w:t>from staff, prisoners,</w:t>
      </w:r>
      <w:r w:rsidR="002E687C" w:rsidRPr="009B7F9C">
        <w:rPr>
          <w:rFonts w:ascii="Arial" w:eastAsia="Calibri" w:hAnsi="Arial" w:cs="Times New Roman"/>
          <w:color w:val="000000"/>
          <w:kern w:val="24"/>
          <w:lang w:eastAsia="en-GB"/>
        </w:rPr>
        <w:t xml:space="preserve"> trade unions,</w:t>
      </w:r>
      <w:r w:rsidRPr="009B7F9C">
        <w:rPr>
          <w:rFonts w:ascii="Arial" w:eastAsia="Calibri" w:hAnsi="Arial" w:cs="Times New Roman"/>
          <w:color w:val="000000"/>
          <w:kern w:val="24"/>
          <w:lang w:eastAsia="en-GB"/>
        </w:rPr>
        <w:t xml:space="preserve"> partners and external stakeholders, continue to make </w:t>
      </w:r>
      <w:r w:rsidRPr="009B7F9C">
        <w:rPr>
          <w:rFonts w:ascii="Arial" w:eastAsia="Calibri" w:hAnsi="Arial" w:cs="Times New Roman"/>
          <w:b/>
          <w:bCs/>
          <w:color w:val="000000"/>
          <w:kern w:val="24"/>
          <w:lang w:eastAsia="en-GB"/>
        </w:rPr>
        <w:t>innovative use of technology</w:t>
      </w:r>
      <w:r w:rsidRPr="009B7F9C">
        <w:rPr>
          <w:rFonts w:ascii="Arial" w:eastAsia="Calibri" w:hAnsi="Arial" w:cs="Times New Roman"/>
          <w:color w:val="000000"/>
          <w:kern w:val="24"/>
          <w:lang w:eastAsia="en-GB"/>
        </w:rPr>
        <w:t xml:space="preserve">, and </w:t>
      </w:r>
      <w:r w:rsidRPr="009B7F9C">
        <w:rPr>
          <w:rFonts w:ascii="Arial" w:eastAsia="Calibri" w:hAnsi="Arial" w:cs="Times New Roman"/>
          <w:b/>
          <w:bCs/>
          <w:color w:val="000000"/>
          <w:kern w:val="24"/>
          <w:lang w:eastAsia="en-GB"/>
        </w:rPr>
        <w:t>work collaboratively</w:t>
      </w:r>
      <w:r w:rsidRPr="009B7F9C">
        <w:rPr>
          <w:rFonts w:ascii="Arial" w:eastAsia="Calibri" w:hAnsi="Arial" w:cs="Times New Roman"/>
          <w:color w:val="000000"/>
          <w:kern w:val="24"/>
          <w:lang w:eastAsia="en-GB"/>
        </w:rPr>
        <w:t xml:space="preserve"> with partners.</w:t>
      </w:r>
    </w:p>
    <w:p w14:paraId="13F8E2D4" w14:textId="77777777" w:rsidR="004F5C9C" w:rsidRPr="009B7F9C" w:rsidRDefault="004F5C9C" w:rsidP="004F5C9C">
      <w:pPr>
        <w:kinsoku w:val="0"/>
        <w:overflowPunct w:val="0"/>
        <w:spacing w:before="240" w:after="160" w:line="256" w:lineRule="auto"/>
        <w:jc w:val="both"/>
        <w:textAlignment w:val="baseline"/>
        <w:rPr>
          <w:rFonts w:ascii="Times New Roman" w:eastAsia="Times New Roman" w:hAnsi="Times New Roman" w:cs="Times New Roman"/>
          <w:lang w:eastAsia="en-GB"/>
        </w:rPr>
      </w:pPr>
      <w:r w:rsidRPr="009B7F9C">
        <w:rPr>
          <w:rFonts w:ascii="Arial" w:eastAsia="Arial" w:hAnsi="Arial" w:cs="Times New Roman"/>
          <w:color w:val="000000"/>
          <w:kern w:val="24"/>
          <w:lang w:eastAsia="en-GB"/>
        </w:rPr>
        <w:t>Communications plans will:</w:t>
      </w:r>
    </w:p>
    <w:p w14:paraId="4E228DB2" w14:textId="77777777" w:rsidR="004F5C9C" w:rsidRPr="009B7F9C" w:rsidRDefault="004F5C9C" w:rsidP="004F5C9C">
      <w:pPr>
        <w:numPr>
          <w:ilvl w:val="1"/>
          <w:numId w:val="30"/>
        </w:numPr>
        <w:tabs>
          <w:tab w:val="clear" w:pos="1440"/>
          <w:tab w:val="num" w:pos="709"/>
        </w:tabs>
        <w:kinsoku w:val="0"/>
        <w:overflowPunct w:val="0"/>
        <w:spacing w:after="0" w:line="256" w:lineRule="auto"/>
        <w:ind w:left="709" w:hanging="283"/>
        <w:contextualSpacing/>
        <w:jc w:val="both"/>
        <w:textAlignment w:val="baseline"/>
        <w:rPr>
          <w:rFonts w:ascii="Times New Roman" w:eastAsia="Times New Roman" w:hAnsi="Times New Roman" w:cs="Times New Roman"/>
          <w:lang w:eastAsia="en-GB"/>
        </w:rPr>
      </w:pPr>
      <w:r w:rsidRPr="009B7F9C">
        <w:rPr>
          <w:rFonts w:ascii="Arial" w:eastAsia="Calibri" w:hAnsi="Arial" w:cs="Times New Roman"/>
          <w:b/>
          <w:bCs/>
          <w:color w:val="000000"/>
          <w:kern w:val="24"/>
          <w:lang w:eastAsia="en-GB"/>
        </w:rPr>
        <w:t>Explain</w:t>
      </w:r>
      <w:r w:rsidRPr="009B7F9C">
        <w:rPr>
          <w:rFonts w:ascii="Arial" w:eastAsia="Calibri" w:hAnsi="Arial" w:cs="Times New Roman"/>
          <w:color w:val="000000"/>
          <w:kern w:val="24"/>
          <w:lang w:eastAsia="en-GB"/>
        </w:rPr>
        <w:t xml:space="preserve"> HMPPS's approach to easing restrictions so that key audiences understand the approach and the considerations which must be addressed before any easing of the prison lockdown can safely happen. </w:t>
      </w:r>
    </w:p>
    <w:p w14:paraId="1EA2C5B9" w14:textId="77777777" w:rsidR="004F5C9C" w:rsidRPr="009B7F9C" w:rsidRDefault="004F5C9C" w:rsidP="004F5C9C">
      <w:pPr>
        <w:numPr>
          <w:ilvl w:val="1"/>
          <w:numId w:val="30"/>
        </w:numPr>
        <w:tabs>
          <w:tab w:val="clear" w:pos="1440"/>
        </w:tabs>
        <w:kinsoku w:val="0"/>
        <w:overflowPunct w:val="0"/>
        <w:spacing w:after="0" w:line="256" w:lineRule="auto"/>
        <w:ind w:left="709" w:hanging="283"/>
        <w:contextualSpacing/>
        <w:jc w:val="both"/>
        <w:textAlignment w:val="baseline"/>
        <w:rPr>
          <w:rFonts w:ascii="Times New Roman" w:eastAsia="Times New Roman" w:hAnsi="Times New Roman" w:cs="Times New Roman"/>
          <w:lang w:eastAsia="en-GB"/>
        </w:rPr>
      </w:pPr>
      <w:r w:rsidRPr="009B7F9C">
        <w:rPr>
          <w:rFonts w:ascii="Arial" w:eastAsia="Calibri" w:hAnsi="Arial" w:cs="Times New Roman"/>
          <w:b/>
          <w:bCs/>
          <w:color w:val="000000"/>
          <w:kern w:val="24"/>
          <w:lang w:eastAsia="en-GB"/>
        </w:rPr>
        <w:t>Reassure</w:t>
      </w:r>
      <w:r w:rsidRPr="009B7F9C">
        <w:rPr>
          <w:rFonts w:ascii="Arial" w:eastAsia="Calibri" w:hAnsi="Arial" w:cs="Times New Roman"/>
          <w:color w:val="000000"/>
          <w:kern w:val="24"/>
          <w:lang w:eastAsia="en-GB"/>
        </w:rPr>
        <w:t xml:space="preserve"> the public and our stakeholders that HMPPS continues to respond and adapt to this pandemic, and is focused on restoring, rebuilding and regenerating as and when it is safe to do so.</w:t>
      </w:r>
    </w:p>
    <w:p w14:paraId="65881ECD" w14:textId="77777777" w:rsidR="004F5C9C" w:rsidRPr="009B7F9C" w:rsidRDefault="004F5C9C" w:rsidP="004F5C9C">
      <w:pPr>
        <w:numPr>
          <w:ilvl w:val="1"/>
          <w:numId w:val="30"/>
        </w:numPr>
        <w:tabs>
          <w:tab w:val="clear" w:pos="1440"/>
          <w:tab w:val="num" w:pos="2268"/>
        </w:tabs>
        <w:kinsoku w:val="0"/>
        <w:overflowPunct w:val="0"/>
        <w:spacing w:after="0" w:line="256" w:lineRule="auto"/>
        <w:ind w:left="709" w:hanging="283"/>
        <w:contextualSpacing/>
        <w:jc w:val="both"/>
        <w:textAlignment w:val="baseline"/>
        <w:rPr>
          <w:rFonts w:ascii="Times New Roman" w:eastAsia="Times New Roman" w:hAnsi="Times New Roman" w:cs="Times New Roman"/>
          <w:lang w:eastAsia="en-GB"/>
        </w:rPr>
      </w:pPr>
      <w:r w:rsidRPr="009B7F9C">
        <w:rPr>
          <w:rFonts w:ascii="Arial" w:eastAsia="Calibri" w:hAnsi="Arial" w:cs="Times New Roman"/>
          <w:b/>
          <w:bCs/>
          <w:color w:val="000000"/>
          <w:kern w:val="24"/>
          <w:lang w:eastAsia="en-GB"/>
        </w:rPr>
        <w:t>Enable</w:t>
      </w:r>
      <w:r w:rsidRPr="009B7F9C">
        <w:rPr>
          <w:rFonts w:ascii="Arial" w:eastAsia="Calibri" w:hAnsi="Arial" w:cs="Times New Roman"/>
          <w:color w:val="000000"/>
          <w:kern w:val="24"/>
          <w:lang w:eastAsia="en-GB"/>
        </w:rPr>
        <w:t xml:space="preserve"> two-way engagement with our staff, service users</w:t>
      </w:r>
      <w:r w:rsidR="002E687C" w:rsidRPr="009B7F9C">
        <w:rPr>
          <w:rFonts w:ascii="Arial" w:eastAsia="Calibri" w:hAnsi="Arial" w:cs="Times New Roman"/>
          <w:color w:val="000000"/>
          <w:kern w:val="24"/>
          <w:lang w:eastAsia="en-GB"/>
        </w:rPr>
        <w:t>, trade unions</w:t>
      </w:r>
      <w:r w:rsidRPr="009B7F9C">
        <w:rPr>
          <w:rFonts w:ascii="Arial" w:eastAsia="Calibri" w:hAnsi="Arial" w:cs="Times New Roman"/>
          <w:color w:val="000000"/>
          <w:kern w:val="24"/>
          <w:lang w:eastAsia="en-GB"/>
        </w:rPr>
        <w:t xml:space="preserve"> and wider stakeholders to ensure that HMPPS's recovery strategy is driven by their insight and we maintain their confidence and support.</w:t>
      </w:r>
    </w:p>
    <w:p w14:paraId="32127B16" w14:textId="77777777" w:rsidR="004F5C9C" w:rsidRPr="009B7F9C" w:rsidRDefault="004F5C9C" w:rsidP="004F5C9C">
      <w:pPr>
        <w:numPr>
          <w:ilvl w:val="1"/>
          <w:numId w:val="30"/>
        </w:numPr>
        <w:tabs>
          <w:tab w:val="clear" w:pos="1440"/>
          <w:tab w:val="num" w:pos="2268"/>
        </w:tabs>
        <w:kinsoku w:val="0"/>
        <w:overflowPunct w:val="0"/>
        <w:spacing w:after="0" w:line="256" w:lineRule="auto"/>
        <w:ind w:left="709" w:hanging="283"/>
        <w:contextualSpacing/>
        <w:jc w:val="both"/>
        <w:textAlignment w:val="baseline"/>
        <w:rPr>
          <w:rFonts w:ascii="Times New Roman" w:eastAsia="Times New Roman" w:hAnsi="Times New Roman" w:cs="Times New Roman"/>
          <w:lang w:eastAsia="en-GB"/>
        </w:rPr>
      </w:pPr>
      <w:r w:rsidRPr="009B7F9C">
        <w:rPr>
          <w:rFonts w:ascii="Arial" w:eastAsia="Calibri" w:hAnsi="Arial" w:cs="Times New Roman"/>
          <w:b/>
          <w:bCs/>
          <w:color w:val="000000"/>
          <w:kern w:val="24"/>
          <w:lang w:eastAsia="en-GB"/>
        </w:rPr>
        <w:t>Defuse</w:t>
      </w:r>
      <w:r w:rsidRPr="009B7F9C">
        <w:rPr>
          <w:rFonts w:ascii="Arial" w:eastAsia="Calibri" w:hAnsi="Arial" w:cs="Times New Roman"/>
          <w:color w:val="000000"/>
          <w:kern w:val="24"/>
          <w:lang w:eastAsia="en-GB"/>
        </w:rPr>
        <w:t xml:space="preserve"> tensions and pressure potentially triggered when the 'we are all in this together' narrative is less applicable, as prisons take different action at different times.</w:t>
      </w:r>
    </w:p>
    <w:p w14:paraId="0A08C1F4" w14:textId="77777777" w:rsidR="004F5C9C" w:rsidRPr="009B7F9C" w:rsidRDefault="004F5C9C" w:rsidP="004F5C9C">
      <w:pPr>
        <w:kinsoku w:val="0"/>
        <w:overflowPunct w:val="0"/>
        <w:spacing w:after="0" w:line="256" w:lineRule="auto"/>
        <w:contextualSpacing/>
        <w:jc w:val="both"/>
        <w:textAlignment w:val="baseline"/>
        <w:rPr>
          <w:rFonts w:ascii="Times New Roman" w:eastAsia="Times New Roman" w:hAnsi="Times New Roman" w:cs="Times New Roman"/>
          <w:lang w:eastAsia="en-GB"/>
        </w:rPr>
      </w:pPr>
    </w:p>
    <w:p w14:paraId="0D0561A5" w14:textId="0B90F4E1" w:rsidR="002E687C" w:rsidRPr="009B7F9C" w:rsidRDefault="004F5C9C" w:rsidP="002E687C">
      <w:pPr>
        <w:kinsoku w:val="0"/>
        <w:overflowPunct w:val="0"/>
        <w:spacing w:after="0" w:line="256" w:lineRule="auto"/>
        <w:contextualSpacing/>
        <w:jc w:val="both"/>
        <w:textAlignment w:val="baseline"/>
        <w:rPr>
          <w:rFonts w:ascii="Arial" w:eastAsia="Times New Roman" w:hAnsi="Arial" w:cs="Arial"/>
          <w:lang w:eastAsia="en-GB"/>
        </w:rPr>
      </w:pPr>
      <w:r w:rsidRPr="009B7F9C">
        <w:rPr>
          <w:rFonts w:ascii="Arial" w:eastAsia="Times New Roman" w:hAnsi="Arial" w:cs="Arial"/>
          <w:lang w:eastAsia="en-GB"/>
        </w:rPr>
        <w:t>It is essential that recognised trade unions are meaningfully engaged</w:t>
      </w:r>
      <w:r w:rsidR="002E687C" w:rsidRPr="009B7F9C">
        <w:rPr>
          <w:rFonts w:ascii="Arial" w:eastAsia="Times New Roman" w:hAnsi="Arial" w:cs="Arial"/>
          <w:lang w:eastAsia="en-GB"/>
        </w:rPr>
        <w:t xml:space="preserve"> and consulted</w:t>
      </w:r>
      <w:r w:rsidRPr="009B7F9C">
        <w:rPr>
          <w:rFonts w:ascii="Arial" w:eastAsia="Times New Roman" w:hAnsi="Arial" w:cs="Arial"/>
          <w:lang w:eastAsia="en-GB"/>
        </w:rPr>
        <w:t xml:space="preserve"> in the design process. </w:t>
      </w:r>
      <w:r w:rsidR="002E687C" w:rsidRPr="009B7F9C">
        <w:rPr>
          <w:rFonts w:ascii="Arial" w:eastAsia="Times New Roman" w:hAnsi="Arial" w:cs="Arial"/>
          <w:lang w:eastAsia="en-GB"/>
        </w:rPr>
        <w:t>Recognised Trade Unions are working constructively and at pace (due to the unprecedented nature of this operational emergency) with HMPPS at a national level with consultation being delivered to shorter than normal timescales. Locally, it is important that this approach is mirrored and appropriate increased levels of facility time are allocated to allow for local recognised Trade Union branch officials (POA, PGA and NTUS</w:t>
      </w:r>
      <w:r w:rsidR="00285BE2" w:rsidRPr="009B7F9C">
        <w:rPr>
          <w:rFonts w:ascii="Arial" w:eastAsia="Times New Roman" w:hAnsi="Arial" w:cs="Arial"/>
          <w:lang w:eastAsia="en-GB"/>
        </w:rPr>
        <w:t xml:space="preserve"> (FDA, GMB, PCS, Prospect, Unite)</w:t>
      </w:r>
      <w:r w:rsidR="002E687C" w:rsidRPr="009B7F9C">
        <w:rPr>
          <w:rFonts w:ascii="Arial" w:eastAsia="Times New Roman" w:hAnsi="Arial" w:cs="Arial"/>
          <w:lang w:eastAsia="en-GB"/>
        </w:rPr>
        <w:t xml:space="preserve"> trade unions) to have sufficient and meaningful input to the RRMP.</w:t>
      </w:r>
    </w:p>
    <w:p w14:paraId="227FACAB" w14:textId="77777777" w:rsidR="00AF3D7F" w:rsidRPr="009B7F9C" w:rsidRDefault="00AF3D7F" w:rsidP="004F5C9C">
      <w:pPr>
        <w:kinsoku w:val="0"/>
        <w:overflowPunct w:val="0"/>
        <w:spacing w:after="0" w:line="256" w:lineRule="auto"/>
        <w:contextualSpacing/>
        <w:jc w:val="both"/>
        <w:textAlignment w:val="baseline"/>
        <w:rPr>
          <w:rFonts w:ascii="Arial" w:eastAsia="Times New Roman" w:hAnsi="Arial" w:cs="Arial"/>
          <w:lang w:eastAsia="en-GB"/>
        </w:rPr>
      </w:pPr>
    </w:p>
    <w:p w14:paraId="170FD8AA" w14:textId="77777777" w:rsidR="00AF3D7F" w:rsidRPr="009B7F9C" w:rsidRDefault="00AF3D7F" w:rsidP="004F5C9C">
      <w:pPr>
        <w:kinsoku w:val="0"/>
        <w:overflowPunct w:val="0"/>
        <w:spacing w:after="0" w:line="256" w:lineRule="auto"/>
        <w:contextualSpacing/>
        <w:jc w:val="both"/>
        <w:textAlignment w:val="baseline"/>
        <w:rPr>
          <w:rFonts w:ascii="Arial" w:eastAsia="Times New Roman" w:hAnsi="Arial" w:cs="Arial"/>
          <w:lang w:eastAsia="en-GB"/>
        </w:rPr>
      </w:pPr>
      <w:r w:rsidRPr="009B7F9C">
        <w:rPr>
          <w:rFonts w:ascii="Arial" w:eastAsia="Times New Roman" w:hAnsi="Arial" w:cs="Arial"/>
          <w:lang w:eastAsia="en-GB"/>
        </w:rPr>
        <w:t xml:space="preserve">It is important to note that partner providers will need to be involved in plans for recovery, ensuring that both the operational planning and the planning for service providers lines up. </w:t>
      </w:r>
    </w:p>
    <w:p w14:paraId="55F7C29B" w14:textId="77777777" w:rsidR="00AF3D7F" w:rsidRPr="009B7F9C" w:rsidRDefault="00AF3D7F" w:rsidP="004F5C9C">
      <w:pPr>
        <w:kinsoku w:val="0"/>
        <w:overflowPunct w:val="0"/>
        <w:spacing w:after="0" w:line="256" w:lineRule="auto"/>
        <w:contextualSpacing/>
        <w:jc w:val="both"/>
        <w:textAlignment w:val="baseline"/>
        <w:rPr>
          <w:rFonts w:ascii="Arial" w:eastAsia="Times New Roman" w:hAnsi="Arial" w:cs="Arial"/>
          <w:lang w:eastAsia="en-GB"/>
        </w:rPr>
      </w:pPr>
    </w:p>
    <w:p w14:paraId="1CF18DC7" w14:textId="71F266FE" w:rsidR="00AF3D7F" w:rsidRPr="009B7F9C" w:rsidRDefault="00AF3D7F" w:rsidP="004F5C9C">
      <w:pPr>
        <w:kinsoku w:val="0"/>
        <w:overflowPunct w:val="0"/>
        <w:spacing w:after="0" w:line="256" w:lineRule="auto"/>
        <w:contextualSpacing/>
        <w:jc w:val="both"/>
        <w:textAlignment w:val="baseline"/>
        <w:rPr>
          <w:rFonts w:ascii="Arial" w:eastAsia="Times New Roman" w:hAnsi="Arial" w:cs="Arial"/>
          <w:lang w:eastAsia="en-GB"/>
        </w:rPr>
      </w:pPr>
      <w:r w:rsidRPr="009B7F9C">
        <w:rPr>
          <w:rFonts w:ascii="Arial" w:eastAsia="Times New Roman" w:hAnsi="Arial" w:cs="Arial"/>
          <w:lang w:eastAsia="en-GB"/>
        </w:rPr>
        <w:t>As part of the Communications Strategy, establishments should make a record of engagement with recognised Trade Unions, other staff groups including those not directly employed, NHS partners and Health Commissioners</w:t>
      </w:r>
      <w:r w:rsidR="00182572" w:rsidRPr="009B7F9C">
        <w:rPr>
          <w:rFonts w:ascii="Arial" w:eastAsia="Times New Roman" w:hAnsi="Arial" w:cs="Arial"/>
          <w:lang w:eastAsia="en-GB"/>
        </w:rPr>
        <w:t xml:space="preserve">, </w:t>
      </w:r>
      <w:r w:rsidRPr="009B7F9C">
        <w:rPr>
          <w:rFonts w:ascii="Arial" w:eastAsia="Times New Roman" w:hAnsi="Arial" w:cs="Arial"/>
          <w:lang w:eastAsia="en-GB"/>
        </w:rPr>
        <w:t>prisoners</w:t>
      </w:r>
      <w:r w:rsidR="00182572" w:rsidRPr="009B7F9C">
        <w:rPr>
          <w:rFonts w:ascii="Arial" w:eastAsia="Times New Roman" w:hAnsi="Arial" w:cs="Arial"/>
          <w:lang w:eastAsia="en-GB"/>
        </w:rPr>
        <w:t>, families and third sector</w:t>
      </w:r>
      <w:r w:rsidRPr="009B7F9C">
        <w:rPr>
          <w:rFonts w:ascii="Arial" w:eastAsia="Times New Roman" w:hAnsi="Arial" w:cs="Arial"/>
          <w:lang w:eastAsia="en-GB"/>
        </w:rPr>
        <w:t xml:space="preserve">. </w:t>
      </w:r>
    </w:p>
    <w:p w14:paraId="473344EC" w14:textId="77777777" w:rsidR="00182572" w:rsidRPr="009B7F9C" w:rsidRDefault="00182572" w:rsidP="004F5C9C">
      <w:pPr>
        <w:kinsoku w:val="0"/>
        <w:overflowPunct w:val="0"/>
        <w:spacing w:after="0" w:line="256" w:lineRule="auto"/>
        <w:contextualSpacing/>
        <w:jc w:val="both"/>
        <w:textAlignment w:val="baseline"/>
        <w:rPr>
          <w:rFonts w:ascii="Arial" w:eastAsia="Times New Roman" w:hAnsi="Arial" w:cs="Arial"/>
          <w:lang w:eastAsia="en-GB"/>
        </w:rPr>
      </w:pPr>
    </w:p>
    <w:p w14:paraId="11A8DB1E" w14:textId="37B780D0" w:rsidR="00182572" w:rsidRPr="009B7F9C" w:rsidRDefault="00182572" w:rsidP="004F5C9C">
      <w:pPr>
        <w:kinsoku w:val="0"/>
        <w:overflowPunct w:val="0"/>
        <w:spacing w:after="0" w:line="256" w:lineRule="auto"/>
        <w:contextualSpacing/>
        <w:jc w:val="both"/>
        <w:textAlignment w:val="baseline"/>
        <w:rPr>
          <w:rFonts w:ascii="Arial" w:eastAsia="Times New Roman" w:hAnsi="Arial" w:cs="Arial"/>
          <w:lang w:eastAsia="en-GB"/>
        </w:rPr>
      </w:pPr>
      <w:r w:rsidRPr="009B7F9C">
        <w:rPr>
          <w:rFonts w:ascii="Arial" w:eastAsia="Times New Roman" w:hAnsi="Arial" w:cs="Arial"/>
          <w:lang w:eastAsia="en-GB"/>
        </w:rPr>
        <w:t xml:space="preserve">Communication strategies developed in the YCS should reflect the different partnership arrangements, safeguarding </w:t>
      </w:r>
      <w:r w:rsidR="0011611F" w:rsidRPr="009B7F9C">
        <w:rPr>
          <w:rFonts w:ascii="Arial" w:eastAsia="Times New Roman" w:hAnsi="Arial" w:cs="Arial"/>
          <w:lang w:eastAsia="en-GB"/>
        </w:rPr>
        <w:t>authorities,</w:t>
      </w:r>
      <w:r w:rsidRPr="009B7F9C">
        <w:rPr>
          <w:rFonts w:ascii="Arial" w:eastAsia="Times New Roman" w:hAnsi="Arial" w:cs="Arial"/>
          <w:lang w:eastAsia="en-GB"/>
        </w:rPr>
        <w:t xml:space="preserve"> and specific needs of children.</w:t>
      </w:r>
    </w:p>
    <w:p w14:paraId="79D8BA1F" w14:textId="77777777" w:rsidR="004F5C9C" w:rsidRPr="009B7F9C" w:rsidRDefault="004F5C9C" w:rsidP="004F5C9C">
      <w:pPr>
        <w:kinsoku w:val="0"/>
        <w:overflowPunct w:val="0"/>
        <w:spacing w:after="0" w:line="256" w:lineRule="auto"/>
        <w:contextualSpacing/>
        <w:jc w:val="both"/>
        <w:textAlignment w:val="baseline"/>
        <w:rPr>
          <w:rFonts w:ascii="Times New Roman" w:eastAsia="Times New Roman" w:hAnsi="Times New Roman" w:cs="Times New Roman"/>
          <w:lang w:eastAsia="en-GB"/>
        </w:rPr>
      </w:pPr>
    </w:p>
    <w:p w14:paraId="385670E1" w14:textId="77777777" w:rsidR="00AF3D7F" w:rsidRPr="009B7F9C" w:rsidRDefault="00AF3D7F" w:rsidP="00C55DB5">
      <w:pPr>
        <w:spacing w:line="240" w:lineRule="auto"/>
        <w:jc w:val="both"/>
        <w:rPr>
          <w:rFonts w:ascii="Arial" w:hAnsi="Arial" w:cs="Arial"/>
          <w:b/>
          <w:color w:val="7030A0"/>
          <w:sz w:val="44"/>
          <w:szCs w:val="44"/>
        </w:rPr>
      </w:pPr>
      <w:r w:rsidRPr="009B7F9C">
        <w:rPr>
          <w:rFonts w:ascii="Arial" w:hAnsi="Arial" w:cs="Arial"/>
          <w:b/>
          <w:color w:val="7030A0"/>
          <w:sz w:val="44"/>
          <w:szCs w:val="44"/>
        </w:rPr>
        <w:t>Equalities Analysis</w:t>
      </w:r>
    </w:p>
    <w:p w14:paraId="6762F38E" w14:textId="77777777" w:rsidR="00160189" w:rsidRPr="009B7F9C" w:rsidRDefault="00160189" w:rsidP="00160189">
      <w:pPr>
        <w:spacing w:line="240" w:lineRule="auto"/>
        <w:jc w:val="both"/>
        <w:rPr>
          <w:rFonts w:ascii="Arial" w:hAnsi="Arial" w:cs="Arial"/>
          <w:iCs/>
        </w:rPr>
      </w:pPr>
      <w:r w:rsidRPr="009B7F9C">
        <w:rPr>
          <w:rFonts w:ascii="Arial" w:hAnsi="Arial" w:cs="Arial"/>
        </w:rPr>
        <w:t xml:space="preserve">Ensuring equality of access to all regime elements for all prisoners should be considered as part of the RRMP. </w:t>
      </w:r>
      <w:r w:rsidRPr="009B7F9C">
        <w:rPr>
          <w:rFonts w:ascii="Arial" w:hAnsi="Arial" w:cs="Arial"/>
          <w:iCs/>
        </w:rPr>
        <w:t>Public Sector Equality Duty requires decision makers to have regard to the need to—(a) eliminate discrimination, (b) advance equality of opportunity and (c) foster good relations between persons with different protected characteristics</w:t>
      </w:r>
      <w:r w:rsidRPr="009B7F9C">
        <w:rPr>
          <w:rFonts w:ascii="Arial" w:hAnsi="Arial" w:cs="Arial"/>
          <w:i/>
          <w:iCs/>
        </w:rPr>
        <w:t>.</w:t>
      </w:r>
      <w:r w:rsidRPr="009B7F9C">
        <w:rPr>
          <w:rFonts w:ascii="Arial" w:hAnsi="Arial" w:cs="Arial"/>
          <w:iCs/>
        </w:rPr>
        <w:t xml:space="preserve"> </w:t>
      </w:r>
    </w:p>
    <w:p w14:paraId="5A268E90" w14:textId="77777777" w:rsidR="00160189" w:rsidRDefault="00160189" w:rsidP="00160189">
      <w:pPr>
        <w:spacing w:line="240" w:lineRule="auto"/>
        <w:jc w:val="both"/>
        <w:rPr>
          <w:rFonts w:ascii="Arial" w:hAnsi="Arial" w:cs="Arial"/>
        </w:rPr>
      </w:pPr>
      <w:r w:rsidRPr="009B7F9C">
        <w:rPr>
          <w:rFonts w:ascii="Arial" w:hAnsi="Arial" w:cs="Arial"/>
        </w:rPr>
        <w:t>Establishments must complete an Equality Analysis and feed this back into the decision making process around how to implement regime recovery. A template Equalities Analysis has been included below. Details on the completion and subsequent use of the Equalities Analysis are included within.</w:t>
      </w:r>
    </w:p>
    <w:p w14:paraId="695A0553" w14:textId="6DA028D7" w:rsidR="00F60AF3" w:rsidRPr="009B7F9C" w:rsidRDefault="00B13EDA" w:rsidP="00160189">
      <w:pPr>
        <w:spacing w:line="240" w:lineRule="auto"/>
        <w:jc w:val="both"/>
        <w:rPr>
          <w:rFonts w:ascii="Arial" w:hAnsi="Arial" w:cs="Arial"/>
        </w:rPr>
      </w:pPr>
      <w:r>
        <w:rPr>
          <w:rFonts w:ascii="Arial" w:hAnsi="Arial" w:cs="Arial"/>
        </w:rPr>
        <w:object w:dxaOrig="1531" w:dyaOrig="990" w14:anchorId="344BA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5pt;height:49.5pt" o:ole="">
            <v:imagedata r:id="rId13" o:title=""/>
          </v:shape>
          <o:OLEObject Type="Embed" ProgID="Excel.Sheet.12" ShapeID="_x0000_i1032" DrawAspect="Icon" ObjectID="_1657433289" r:id="rId14"/>
        </w:object>
      </w:r>
      <w:bookmarkStart w:id="1" w:name="_GoBack"/>
      <w:bookmarkEnd w:id="1"/>
    </w:p>
    <w:p w14:paraId="52DD03B0" w14:textId="36262286" w:rsidR="00AF3D7F" w:rsidRPr="009B7F9C" w:rsidRDefault="00AF3D7F" w:rsidP="00C55DB5">
      <w:pPr>
        <w:spacing w:line="240" w:lineRule="auto"/>
        <w:jc w:val="both"/>
        <w:rPr>
          <w:rFonts w:ascii="Arial" w:hAnsi="Arial" w:cs="Arial"/>
        </w:rPr>
      </w:pPr>
    </w:p>
    <w:p w14:paraId="03E35DD1" w14:textId="77777777" w:rsidR="00C55DB5" w:rsidRPr="009B7F9C" w:rsidRDefault="00C55DB5" w:rsidP="00C55DB5">
      <w:pPr>
        <w:spacing w:line="240" w:lineRule="auto"/>
        <w:jc w:val="both"/>
        <w:rPr>
          <w:rFonts w:ascii="Arial" w:hAnsi="Arial" w:cs="Arial"/>
          <w:b/>
          <w:color w:val="7030A0"/>
          <w:sz w:val="44"/>
          <w:szCs w:val="44"/>
        </w:rPr>
      </w:pPr>
      <w:r w:rsidRPr="009B7F9C">
        <w:rPr>
          <w:rFonts w:ascii="Arial" w:hAnsi="Arial" w:cs="Arial"/>
          <w:b/>
          <w:color w:val="7030A0"/>
          <w:sz w:val="44"/>
          <w:szCs w:val="44"/>
        </w:rPr>
        <w:t>Exceptional Delivery Models</w:t>
      </w:r>
    </w:p>
    <w:p w14:paraId="4492DD76" w14:textId="342B3420" w:rsidR="00C55DB5" w:rsidRPr="009B7F9C" w:rsidRDefault="00C55DB5" w:rsidP="00C55DB5">
      <w:pPr>
        <w:spacing w:line="240" w:lineRule="auto"/>
        <w:jc w:val="both"/>
        <w:rPr>
          <w:rFonts w:ascii="Arial" w:hAnsi="Arial" w:cs="Arial"/>
          <w:szCs w:val="24"/>
        </w:rPr>
      </w:pPr>
      <w:r w:rsidRPr="009B7F9C">
        <w:rPr>
          <w:rFonts w:ascii="Arial" w:hAnsi="Arial" w:cs="Arial"/>
          <w:szCs w:val="24"/>
        </w:rPr>
        <w:t>Exceptional Delivery Models (EDMs)</w:t>
      </w:r>
      <w:r w:rsidRPr="009B7F9C">
        <w:rPr>
          <w:rFonts w:ascii="Arial" w:hAnsi="Arial" w:cs="Arial"/>
          <w:b/>
          <w:szCs w:val="24"/>
        </w:rPr>
        <w:t xml:space="preserve"> </w:t>
      </w:r>
      <w:r w:rsidRPr="009B7F9C">
        <w:rPr>
          <w:rFonts w:ascii="Arial" w:hAnsi="Arial" w:cs="Arial"/>
          <w:szCs w:val="24"/>
        </w:rPr>
        <w:t>will be published for individual areas of the prison regime, covering how to deliver aspects of the regime at every stage. Each will be a brief guide on the high-level principles that must be incorporated into a local plan for each element of regime being reinstated. It is essential that the initial/interim stage of recovery is not seen as a reversal of measures put in place to this point</w:t>
      </w:r>
      <w:r w:rsidR="00BF623E" w:rsidRPr="009B7F9C">
        <w:rPr>
          <w:rFonts w:ascii="Arial" w:hAnsi="Arial" w:cs="Arial"/>
          <w:szCs w:val="24"/>
        </w:rPr>
        <w:t>,</w:t>
      </w:r>
      <w:r w:rsidRPr="009B7F9C">
        <w:rPr>
          <w:rFonts w:ascii="Arial" w:hAnsi="Arial" w:cs="Arial"/>
          <w:szCs w:val="24"/>
        </w:rPr>
        <w:t xml:space="preserve"> or that pre-existing procedures are automatically reinstated when there may be steps to go through to reach this point safely</w:t>
      </w:r>
      <w:r w:rsidR="00BF623E" w:rsidRPr="009B7F9C">
        <w:rPr>
          <w:rFonts w:ascii="Arial" w:hAnsi="Arial" w:cs="Arial"/>
          <w:szCs w:val="24"/>
        </w:rPr>
        <w:t xml:space="preserve"> or possible changes in the method of delivery going forwards</w:t>
      </w:r>
      <w:r w:rsidRPr="009B7F9C">
        <w:rPr>
          <w:rFonts w:ascii="Arial" w:hAnsi="Arial" w:cs="Arial"/>
          <w:szCs w:val="24"/>
        </w:rPr>
        <w:t xml:space="preserve">. The specification will ensure establishments are clear on expectations from the outset. EDMs will cover all elements of regime from reinstating limited </w:t>
      </w:r>
      <w:r w:rsidR="00BF623E" w:rsidRPr="009B7F9C">
        <w:rPr>
          <w:rFonts w:ascii="Arial" w:hAnsi="Arial" w:cs="Arial"/>
          <w:szCs w:val="24"/>
        </w:rPr>
        <w:t>on wing activity</w:t>
      </w:r>
      <w:r w:rsidRPr="009B7F9C">
        <w:rPr>
          <w:rFonts w:ascii="Arial" w:hAnsi="Arial" w:cs="Arial"/>
          <w:szCs w:val="24"/>
        </w:rPr>
        <w:t xml:space="preserve"> to social visits. These will be developed in consultation with Public Health England / Wales advice to ensure that prison regimes are established in a way that ensures the ongoing safety of staff and prisoners.</w:t>
      </w:r>
    </w:p>
    <w:p w14:paraId="5146DD18" w14:textId="77777777" w:rsidR="00C55DB5" w:rsidRPr="009B7F9C" w:rsidRDefault="00C55DB5" w:rsidP="00C55DB5">
      <w:pPr>
        <w:spacing w:after="160" w:line="259" w:lineRule="auto"/>
        <w:jc w:val="both"/>
        <w:rPr>
          <w:rFonts w:ascii="Arial" w:hAnsi="Arial" w:cs="Arial"/>
        </w:rPr>
      </w:pPr>
      <w:r w:rsidRPr="009B7F9C">
        <w:rPr>
          <w:rFonts w:ascii="Arial" w:hAnsi="Arial" w:cs="Arial"/>
          <w:szCs w:val="24"/>
        </w:rPr>
        <w:t xml:space="preserve">As will be set out in the EDMs, some activity will look very different depending on the Regime Stage the prison is operating at – for example in terms of the maximum number of people attending a visit, or the social distancing requirements. Some activity will only take place once the prison has progressed to a certain Stage. This will also vary depending on the type of establishment, and reflect local priorities e.g. the importance and statutory obligation to provide education for children in the YCS estate. </w:t>
      </w:r>
      <w:r w:rsidRPr="009B7F9C">
        <w:rPr>
          <w:rFonts w:ascii="Arial" w:hAnsi="Arial" w:cs="Arial"/>
          <w:noProof/>
          <w:lang w:eastAsia="en-GB"/>
        </w:rPr>
        <mc:AlternateContent>
          <mc:Choice Requires="wps">
            <w:drawing>
              <wp:anchor distT="0" distB="0" distL="114300" distR="114300" simplePos="0" relativeHeight="251658240" behindDoc="0" locked="0" layoutInCell="1" allowOverlap="1" wp14:anchorId="13A3A6C6" wp14:editId="0841A2EB">
                <wp:simplePos x="0" y="0"/>
                <wp:positionH relativeFrom="column">
                  <wp:posOffset>8680450</wp:posOffset>
                </wp:positionH>
                <wp:positionV relativeFrom="paragraph">
                  <wp:posOffset>929640</wp:posOffset>
                </wp:positionV>
                <wp:extent cx="1510507" cy="769441"/>
                <wp:effectExtent l="0" t="0" r="0" b="0"/>
                <wp:wrapNone/>
                <wp:docPr id="9" name="TextBox 8"/>
                <wp:cNvGraphicFramePr/>
                <a:graphic xmlns:a="http://schemas.openxmlformats.org/drawingml/2006/main">
                  <a:graphicData uri="http://schemas.microsoft.com/office/word/2010/wordprocessingShape">
                    <wps:wsp>
                      <wps:cNvSpPr txBox="1"/>
                      <wps:spPr>
                        <a:xfrm>
                          <a:off x="0" y="0"/>
                          <a:ext cx="1510507" cy="769441"/>
                        </a:xfrm>
                        <a:prstGeom prst="rect">
                          <a:avLst/>
                        </a:prstGeom>
                        <a:noFill/>
                      </wps:spPr>
                      <wps:txbx>
                        <w:txbxContent>
                          <w:p w14:paraId="64FD178A" w14:textId="77777777" w:rsidR="00C55DB5" w:rsidRDefault="00C55DB5" w:rsidP="00C55DB5">
                            <w:pPr>
                              <w:pStyle w:val="NormalWeb"/>
                              <w:kinsoku w:val="0"/>
                              <w:overflowPunct w:val="0"/>
                              <w:spacing w:after="0"/>
                              <w:textAlignment w:val="baseline"/>
                            </w:pPr>
                            <w:r>
                              <w:rPr>
                                <w:rFonts w:asciiTheme="majorHAnsi" w:hAnsi="Calibri Light" w:cstheme="minorBidi"/>
                                <w:color w:val="000000" w:themeColor="text1"/>
                                <w:kern w:val="24"/>
                                <w:sz w:val="22"/>
                                <w:szCs w:val="22"/>
                              </w:rPr>
                              <w:t>Approved by SILVER</w:t>
                            </w:r>
                          </w:p>
                          <w:p w14:paraId="5C7CE31F" w14:textId="77777777" w:rsidR="00C55DB5" w:rsidRDefault="00C55DB5" w:rsidP="00C55DB5">
                            <w:pPr>
                              <w:pStyle w:val="NormalWeb"/>
                              <w:kinsoku w:val="0"/>
                              <w:overflowPunct w:val="0"/>
                              <w:spacing w:after="0"/>
                              <w:textAlignment w:val="baseline"/>
                            </w:pPr>
                            <w:r>
                              <w:rPr>
                                <w:rFonts w:asciiTheme="majorHAnsi" w:hAnsi="Calibri Light" w:cstheme="minorBidi"/>
                                <w:color w:val="000000" w:themeColor="text1"/>
                                <w:kern w:val="24"/>
                                <w:sz w:val="22"/>
                                <w:szCs w:val="22"/>
                              </w:rPr>
                              <w:t xml:space="preserve">(submitted by Bronze </w:t>
                            </w:r>
                            <w:r>
                              <w:rPr>
                                <w:rFonts w:asciiTheme="majorHAnsi" w:hAnsi="Calibri Light" w:cstheme="minorBidi"/>
                                <w:color w:val="000000" w:themeColor="text1"/>
                                <w:kern w:val="24"/>
                                <w:sz w:val="22"/>
                                <w:szCs w:val="22"/>
                              </w:rPr>
                              <w:t>–</w:t>
                            </w:r>
                            <w:r>
                              <w:rPr>
                                <w:rFonts w:asciiTheme="majorHAnsi" w:hAnsi="Calibri Light" w:cstheme="minorBidi"/>
                                <w:color w:val="000000" w:themeColor="text1"/>
                                <w:kern w:val="24"/>
                                <w:sz w:val="22"/>
                                <w:szCs w:val="22"/>
                              </w:rPr>
                              <w:t>Governor proposed RMP)</w:t>
                            </w:r>
                          </w:p>
                        </w:txbxContent>
                      </wps:txbx>
                      <wps:bodyPr wrap="square" rtlCol="0">
                        <a:spAutoFit/>
                      </wps:bodyPr>
                    </wps:wsp>
                  </a:graphicData>
                </a:graphic>
              </wp:anchor>
            </w:drawing>
          </mc:Choice>
          <mc:Fallback>
            <w:pict>
              <v:shapetype w14:anchorId="13A3A6C6" id="_x0000_t202" coordsize="21600,21600" o:spt="202" path="m,l,21600r21600,l21600,xe">
                <v:stroke joinstyle="miter"/>
                <v:path gradientshapeok="t" o:connecttype="rect"/>
              </v:shapetype>
              <v:shape id="TextBox 8" o:spid="_x0000_s1026" type="#_x0000_t202" style="position:absolute;left:0;text-align:left;margin-left:683.5pt;margin-top:73.2pt;width:118.95pt;height:6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" filled="f" stroked="f">
                <v:textbox style="mso-fit-shape-to-text:t">
                  <w:txbxContent>
                    <w:p w14:paraId="64FD178A" w14:textId="77777777" w:rsidR="00C55DB5" w:rsidRDefault="00C55DB5" w:rsidP="00C55DB5">
                      <w:pPr>
                        <w:pStyle w:val="NormalWeb"/>
                        <w:kinsoku w:val="0"/>
                        <w:overflowPunct w:val="0"/>
                        <w:spacing w:after="0"/>
                        <w:textAlignment w:val="baseline"/>
                      </w:pPr>
                      <w:r>
                        <w:rPr>
                          <w:rFonts w:asciiTheme="majorHAnsi" w:hAnsi="Calibri Light" w:cstheme="minorBidi"/>
                          <w:color w:val="000000" w:themeColor="text1"/>
                          <w:kern w:val="24"/>
                          <w:sz w:val="22"/>
                          <w:szCs w:val="22"/>
                        </w:rPr>
                        <w:t>Approved by SILVER</w:t>
                      </w:r>
                    </w:p>
                    <w:p w14:paraId="5C7CE31F" w14:textId="77777777" w:rsidR="00C55DB5" w:rsidRDefault="00C55DB5" w:rsidP="00C55DB5">
                      <w:pPr>
                        <w:pStyle w:val="NormalWeb"/>
                        <w:kinsoku w:val="0"/>
                        <w:overflowPunct w:val="0"/>
                        <w:spacing w:after="0"/>
                        <w:textAlignment w:val="baseline"/>
                      </w:pPr>
                      <w:r>
                        <w:rPr>
                          <w:rFonts w:asciiTheme="majorHAnsi" w:hAnsi="Calibri Light" w:cstheme="minorBidi"/>
                          <w:color w:val="000000" w:themeColor="text1"/>
                          <w:kern w:val="24"/>
                          <w:sz w:val="22"/>
                          <w:szCs w:val="22"/>
                        </w:rPr>
                        <w:t xml:space="preserve">(submitted by Bronze </w:t>
                      </w:r>
                      <w:r>
                        <w:rPr>
                          <w:rFonts w:asciiTheme="majorHAnsi" w:hAnsi="Calibri Light" w:cstheme="minorBidi"/>
                          <w:color w:val="000000" w:themeColor="text1"/>
                          <w:kern w:val="24"/>
                          <w:sz w:val="22"/>
                          <w:szCs w:val="22"/>
                        </w:rPr>
                        <w:t>–</w:t>
                      </w:r>
                      <w:r>
                        <w:rPr>
                          <w:rFonts w:asciiTheme="majorHAnsi" w:hAnsi="Calibri Light" w:cstheme="minorBidi"/>
                          <w:color w:val="000000" w:themeColor="text1"/>
                          <w:kern w:val="24"/>
                          <w:sz w:val="22"/>
                          <w:szCs w:val="22"/>
                        </w:rPr>
                        <w:t>Governor proposed RMP)</w:t>
                      </w:r>
                    </w:p>
                  </w:txbxContent>
                </v:textbox>
              </v:shape>
            </w:pict>
          </mc:Fallback>
        </mc:AlternateContent>
      </w:r>
      <w:r w:rsidRPr="009B7F9C">
        <w:rPr>
          <w:rFonts w:ascii="Arial" w:hAnsi="Arial" w:cs="Arial"/>
        </w:rPr>
        <w:t xml:space="preserve"> </w:t>
      </w:r>
    </w:p>
    <w:p w14:paraId="269CCAC5" w14:textId="77777777" w:rsidR="00C55DB5" w:rsidRPr="009B7F9C" w:rsidRDefault="00C55DB5" w:rsidP="00C55DB5">
      <w:pPr>
        <w:spacing w:line="240" w:lineRule="auto"/>
        <w:jc w:val="both"/>
        <w:rPr>
          <w:rFonts w:ascii="Arial" w:hAnsi="Arial" w:cs="Arial"/>
          <w:szCs w:val="24"/>
        </w:rPr>
      </w:pPr>
      <w:r w:rsidRPr="009B7F9C">
        <w:rPr>
          <w:rFonts w:ascii="Arial" w:hAnsi="Arial" w:cs="Arial"/>
          <w:szCs w:val="24"/>
        </w:rPr>
        <w:t xml:space="preserve">There is local discretion for Governors, in consultation with the relevant unions and in accordance with the relevant element of the EDM, to determine the detail of </w:t>
      </w:r>
      <w:r w:rsidRPr="00B55D3A">
        <w:rPr>
          <w:rFonts w:ascii="Arial" w:hAnsi="Arial" w:cs="Arial"/>
          <w:i/>
          <w:szCs w:val="24"/>
        </w:rPr>
        <w:t>how</w:t>
      </w:r>
      <w:r w:rsidRPr="009B7F9C">
        <w:rPr>
          <w:rFonts w:ascii="Arial" w:hAnsi="Arial" w:cs="Arial"/>
          <w:szCs w:val="24"/>
        </w:rPr>
        <w:t xml:space="preserve"> the delivery models can best be implemented locally. This will include the expected timeframe and order in which these aspects are turned on as the prison transitions to the new Stage. It may take some time to fully achieve all regime aspects of a given Stage given the need to test new ways of working, but broadly we expect establishments to be operating the full regime applicable to that stage within [4-6 weeks] of adopting it.</w:t>
      </w:r>
    </w:p>
    <w:p w14:paraId="681BB45E" w14:textId="77777777" w:rsidR="00C55DB5" w:rsidRPr="009B7F9C" w:rsidRDefault="00C55DB5" w:rsidP="00C55DB5">
      <w:pPr>
        <w:spacing w:line="240" w:lineRule="auto"/>
        <w:jc w:val="both"/>
        <w:rPr>
          <w:rFonts w:ascii="Arial" w:hAnsi="Arial" w:cs="Arial"/>
          <w:szCs w:val="24"/>
        </w:rPr>
      </w:pPr>
      <w:r w:rsidRPr="009B7F9C">
        <w:rPr>
          <w:rFonts w:ascii="Arial" w:hAnsi="Arial" w:cs="Arial"/>
          <w:szCs w:val="24"/>
        </w:rPr>
        <w:t>The full suite of EDM’s is available on the Operational Guidance platform here:</w:t>
      </w:r>
    </w:p>
    <w:p w14:paraId="09E35AF6" w14:textId="77777777" w:rsidR="00C55DB5" w:rsidRPr="009B7F9C" w:rsidRDefault="00B13EDA" w:rsidP="00C55DB5">
      <w:pPr>
        <w:spacing w:line="240" w:lineRule="auto"/>
        <w:jc w:val="both"/>
        <w:rPr>
          <w:rFonts w:ascii="Arial" w:hAnsi="Arial" w:cs="Arial"/>
          <w:szCs w:val="24"/>
        </w:rPr>
      </w:pPr>
      <w:hyperlink r:id="rId15" w:history="1">
        <w:r w:rsidR="00C55DB5" w:rsidRPr="009B7F9C">
          <w:rPr>
            <w:rStyle w:val="Hyperlink"/>
            <w:rFonts w:ascii="Arial" w:hAnsi="Arial" w:cs="Arial"/>
            <w:szCs w:val="24"/>
          </w:rPr>
          <w:t>http://hmppsintranet.org.uk/except/</w:t>
        </w:r>
      </w:hyperlink>
    </w:p>
    <w:p w14:paraId="7225368D" w14:textId="77777777" w:rsidR="00AF3D7F" w:rsidRPr="009B7F9C" w:rsidRDefault="00AF3D7F" w:rsidP="00C55DB5">
      <w:pPr>
        <w:spacing w:line="240" w:lineRule="auto"/>
        <w:rPr>
          <w:rFonts w:ascii="Arial" w:hAnsi="Arial" w:cs="Arial"/>
          <w:b/>
          <w:color w:val="7030A0"/>
          <w:sz w:val="44"/>
          <w:szCs w:val="44"/>
        </w:rPr>
      </w:pPr>
    </w:p>
    <w:p w14:paraId="18AABF5A" w14:textId="77777777" w:rsidR="00AF3D7F" w:rsidRPr="009B7F9C" w:rsidRDefault="00AF3D7F" w:rsidP="00C55DB5">
      <w:pPr>
        <w:spacing w:line="240" w:lineRule="auto"/>
        <w:rPr>
          <w:rFonts w:ascii="Arial" w:hAnsi="Arial" w:cs="Arial"/>
          <w:b/>
          <w:color w:val="7030A0"/>
          <w:sz w:val="44"/>
          <w:szCs w:val="44"/>
        </w:rPr>
      </w:pPr>
    </w:p>
    <w:p w14:paraId="697BAA8C" w14:textId="77777777" w:rsidR="00C55DB5" w:rsidRPr="009B7F9C" w:rsidRDefault="00C55DB5" w:rsidP="00C55DB5">
      <w:pPr>
        <w:spacing w:line="240" w:lineRule="auto"/>
        <w:rPr>
          <w:rFonts w:ascii="Arial" w:hAnsi="Arial" w:cs="Arial"/>
          <w:b/>
          <w:color w:val="7030A0"/>
          <w:sz w:val="44"/>
          <w:szCs w:val="44"/>
        </w:rPr>
      </w:pPr>
      <w:r w:rsidRPr="009B7F9C">
        <w:rPr>
          <w:rFonts w:ascii="Arial" w:hAnsi="Arial" w:cs="Arial"/>
          <w:b/>
          <w:color w:val="7030A0"/>
          <w:sz w:val="44"/>
          <w:szCs w:val="44"/>
        </w:rPr>
        <w:t>Risk Assessments &amp; Operating Procedures</w:t>
      </w:r>
    </w:p>
    <w:p w14:paraId="484AA84E" w14:textId="119DFD9B" w:rsidR="00C55DB5" w:rsidRPr="009B7F9C" w:rsidRDefault="00C55DB5" w:rsidP="00C55DB5">
      <w:pPr>
        <w:spacing w:line="240" w:lineRule="auto"/>
        <w:jc w:val="both"/>
        <w:rPr>
          <w:rFonts w:ascii="Arial" w:hAnsi="Arial" w:cs="Arial"/>
        </w:rPr>
      </w:pPr>
      <w:r w:rsidRPr="009B7F9C">
        <w:rPr>
          <w:rFonts w:ascii="Arial" w:hAnsi="Arial" w:cs="Arial"/>
        </w:rPr>
        <w:t>All Government sectors are required to provide “Working Safely</w:t>
      </w:r>
      <w:r w:rsidR="009A0997" w:rsidRPr="009B7F9C">
        <w:rPr>
          <w:rFonts w:ascii="Arial" w:hAnsi="Arial" w:cs="Arial"/>
        </w:rPr>
        <w:t>”</w:t>
      </w:r>
      <w:r w:rsidRPr="009B7F9C">
        <w:rPr>
          <w:rFonts w:ascii="Arial" w:hAnsi="Arial" w:cs="Arial"/>
        </w:rPr>
        <w:t xml:space="preserve"> Guidance for their staff. Below is the “HMPPS Working Safely during COVID-19 in Prisons” guide which includes the mandatory Risk Assessment template to be used for all risk assessments being completed around elements of regime throughout recovery.</w:t>
      </w:r>
    </w:p>
    <w:bookmarkStart w:id="2" w:name="_MON_1653131067"/>
    <w:bookmarkEnd w:id="2"/>
    <w:p w14:paraId="7327A44E" w14:textId="77777777" w:rsidR="00C55DB5" w:rsidRPr="009B7F9C" w:rsidRDefault="00C55DB5" w:rsidP="00C55DB5">
      <w:pPr>
        <w:spacing w:line="240" w:lineRule="auto"/>
        <w:jc w:val="both"/>
      </w:pPr>
      <w:r w:rsidRPr="009B7F9C">
        <w:object w:dxaOrig="1531" w:dyaOrig="990" w14:anchorId="5913D28F">
          <v:shape id="_x0000_i1026" type="#_x0000_t75" style="width:76.55pt;height:49.5pt" o:ole="">
            <v:imagedata r:id="rId16" o:title=""/>
          </v:shape>
          <o:OLEObject Type="Embed" ProgID="Word.Document.12" ShapeID="_x0000_i1026" DrawAspect="Icon" ObjectID="_1657433290" r:id="rId17">
            <o:FieldCodes>\s</o:FieldCodes>
          </o:OLEObject>
        </w:object>
      </w:r>
    </w:p>
    <w:p w14:paraId="52D73AB9" w14:textId="0E83A69B" w:rsidR="00C55DB5" w:rsidRPr="009B7F9C" w:rsidRDefault="00E80509" w:rsidP="00C55DB5">
      <w:pPr>
        <w:spacing w:line="240" w:lineRule="auto"/>
        <w:jc w:val="both"/>
        <w:rPr>
          <w:rFonts w:ascii="Arial" w:hAnsi="Arial" w:cs="Arial"/>
        </w:rPr>
      </w:pPr>
      <w:r>
        <w:rPr>
          <w:rFonts w:ascii="Arial" w:hAnsi="Arial" w:cs="Arial"/>
        </w:rPr>
        <w:t>Existing risk assessments and safe systems of work underpin our operating practices.  Any new practice requires assessment as normal.  However, it</w:t>
      </w:r>
      <w:r w:rsidR="00C55DB5" w:rsidRPr="009B7F9C">
        <w:rPr>
          <w:rFonts w:ascii="Arial" w:hAnsi="Arial" w:cs="Arial"/>
        </w:rPr>
        <w:t xml:space="preserve"> is essential that as part of the Recover</w:t>
      </w:r>
      <w:r>
        <w:rPr>
          <w:rFonts w:ascii="Arial" w:hAnsi="Arial" w:cs="Arial"/>
        </w:rPr>
        <w:t xml:space="preserve">y Regime Management Plan, each </w:t>
      </w:r>
      <w:r w:rsidR="00C55DB5" w:rsidRPr="009B7F9C">
        <w:rPr>
          <w:rFonts w:ascii="Arial" w:hAnsi="Arial" w:cs="Arial"/>
        </w:rPr>
        <w:t>element of regime</w:t>
      </w:r>
      <w:r w:rsidR="00B55D3A">
        <w:rPr>
          <w:rFonts w:ascii="Arial" w:hAnsi="Arial" w:cs="Arial"/>
        </w:rPr>
        <w:t xml:space="preserve"> </w:t>
      </w:r>
      <w:r w:rsidR="00C55DB5" w:rsidRPr="009B7F9C">
        <w:rPr>
          <w:rFonts w:ascii="Arial" w:hAnsi="Arial" w:cs="Arial"/>
        </w:rPr>
        <w:t>is ri</w:t>
      </w:r>
      <w:r w:rsidR="00375ED9" w:rsidRPr="009B7F9C">
        <w:rPr>
          <w:rFonts w:ascii="Arial" w:hAnsi="Arial" w:cs="Arial"/>
        </w:rPr>
        <w:t xml:space="preserve">sk assessed </w:t>
      </w:r>
      <w:r>
        <w:rPr>
          <w:rFonts w:ascii="Arial" w:hAnsi="Arial" w:cs="Arial"/>
        </w:rPr>
        <w:t xml:space="preserve">for being safe under COVID-19 conditions </w:t>
      </w:r>
      <w:r w:rsidR="00375ED9" w:rsidRPr="009B7F9C">
        <w:rPr>
          <w:rFonts w:ascii="Arial" w:hAnsi="Arial" w:cs="Arial"/>
        </w:rPr>
        <w:t>using this template</w:t>
      </w:r>
      <w:r w:rsidR="0039091C" w:rsidRPr="009B7F9C">
        <w:rPr>
          <w:rFonts w:ascii="Arial" w:hAnsi="Arial" w:cs="Arial"/>
        </w:rPr>
        <w:t xml:space="preserve">. </w:t>
      </w:r>
      <w:r w:rsidR="00C55DB5" w:rsidRPr="009B7F9C">
        <w:rPr>
          <w:rFonts w:ascii="Arial" w:hAnsi="Arial" w:cs="Arial"/>
        </w:rPr>
        <w:t>Once the risks have been identified, this should inform the Operating Procedures which will make up the Regime Recovery Plan. Operating Procedures should actively mitigate the risks identified within the Risk Assessment and provide staff with clear and safe instructions on how to deliver the regime.</w:t>
      </w:r>
      <w:r w:rsidR="009B7F9C">
        <w:rPr>
          <w:rFonts w:ascii="Arial" w:hAnsi="Arial" w:cs="Arial"/>
        </w:rPr>
        <w:t xml:space="preserve"> </w:t>
      </w:r>
      <w:r w:rsidR="009B7F9C" w:rsidRPr="00B55D3A">
        <w:rPr>
          <w:rFonts w:ascii="Arial" w:hAnsi="Arial" w:cs="Arial"/>
        </w:rPr>
        <w:t>The recommended template for Operating Procedures is provided at the end of this guidance and reflects current RMP policy templates.</w:t>
      </w:r>
    </w:p>
    <w:p w14:paraId="25F4A4C0" w14:textId="77777777" w:rsidR="00C55DB5" w:rsidRPr="009B7F9C" w:rsidRDefault="00C55DB5" w:rsidP="00C55DB5">
      <w:pPr>
        <w:spacing w:line="240" w:lineRule="auto"/>
        <w:jc w:val="both"/>
        <w:rPr>
          <w:rFonts w:ascii="Arial" w:hAnsi="Arial" w:cs="Arial"/>
        </w:rPr>
      </w:pPr>
      <w:r w:rsidRPr="009B7F9C">
        <w:rPr>
          <w:rFonts w:ascii="Arial" w:hAnsi="Arial" w:cs="Arial"/>
          <w:noProof/>
          <w:lang w:eastAsia="en-GB"/>
        </w:rPr>
        <w:drawing>
          <wp:inline distT="0" distB="0" distL="0" distR="0" wp14:anchorId="688192D6" wp14:editId="3692F3A6">
            <wp:extent cx="5486400" cy="1143000"/>
            <wp:effectExtent l="1905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9B7F9C">
        <w:rPr>
          <w:rFonts w:ascii="Arial" w:hAnsi="Arial" w:cs="Arial"/>
        </w:rPr>
        <w:t xml:space="preserve"> </w:t>
      </w:r>
    </w:p>
    <w:p w14:paraId="35610F8D" w14:textId="77777777" w:rsidR="00C55DB5" w:rsidRPr="009B7F9C" w:rsidRDefault="00C55DB5" w:rsidP="00C55DB5">
      <w:pPr>
        <w:rPr>
          <w:rFonts w:ascii="Arial" w:hAnsi="Arial" w:cs="Arial"/>
          <w:b/>
          <w:color w:val="7030A0"/>
          <w:sz w:val="44"/>
          <w:szCs w:val="44"/>
        </w:rPr>
      </w:pPr>
      <w:r w:rsidRPr="009B7F9C">
        <w:rPr>
          <w:rFonts w:ascii="Arial" w:hAnsi="Arial" w:cs="Arial"/>
          <w:b/>
          <w:color w:val="7030A0"/>
          <w:sz w:val="44"/>
          <w:szCs w:val="44"/>
        </w:rPr>
        <w:t>Resource Planning</w:t>
      </w:r>
    </w:p>
    <w:p w14:paraId="5876DEB8" w14:textId="4F8283F9" w:rsidR="00A4279E" w:rsidRPr="009B7F9C" w:rsidRDefault="00A4279E" w:rsidP="00A4279E">
      <w:pPr>
        <w:jc w:val="both"/>
        <w:rPr>
          <w:rFonts w:ascii="Arial" w:hAnsi="Arial" w:cs="Arial"/>
        </w:rPr>
      </w:pPr>
      <w:r w:rsidRPr="009B7F9C">
        <w:rPr>
          <w:rFonts w:ascii="Arial" w:hAnsi="Arial" w:cs="Arial"/>
        </w:rPr>
        <w:t xml:space="preserve">As part of the RRMP design, it is essential that your establishment is clear on the resource required to deliver the proposed recovery regime in a safe manner. </w:t>
      </w:r>
      <w:r w:rsidR="00B55D3A">
        <w:rPr>
          <w:rFonts w:ascii="Arial" w:hAnsi="Arial" w:cs="Arial"/>
        </w:rPr>
        <w:t>The d</w:t>
      </w:r>
      <w:r w:rsidRPr="009B7F9C">
        <w:rPr>
          <w:rFonts w:ascii="Arial" w:hAnsi="Arial" w:cs="Arial"/>
        </w:rPr>
        <w:t xml:space="preserve">esign of a temporary core day and a review of the required resource to deliver this should be carried out to inform planning.  </w:t>
      </w:r>
    </w:p>
    <w:p w14:paraId="40989406" w14:textId="7D1693CA" w:rsidR="00C55DB5" w:rsidRPr="009B7F9C" w:rsidRDefault="00C55DB5" w:rsidP="00C55DB5">
      <w:pPr>
        <w:jc w:val="both"/>
        <w:rPr>
          <w:rFonts w:ascii="Arial" w:hAnsi="Arial" w:cs="Arial"/>
        </w:rPr>
      </w:pPr>
      <w:r w:rsidRPr="009B7F9C">
        <w:rPr>
          <w:rFonts w:ascii="Arial" w:hAnsi="Arial" w:cs="Arial"/>
        </w:rPr>
        <w:t xml:space="preserve">As with normal Regime Management Planning, we should deliver as much regime as it is safe to and no more regime than the resource safely allows. As such, every establishment will establish (or re-establish where this was already in place) </w:t>
      </w:r>
      <w:r w:rsidR="009B7F9C">
        <w:rPr>
          <w:rFonts w:ascii="Arial" w:hAnsi="Arial" w:cs="Arial"/>
        </w:rPr>
        <w:t>a</w:t>
      </w:r>
      <w:r w:rsidRPr="009B7F9C">
        <w:rPr>
          <w:rFonts w:ascii="Arial" w:hAnsi="Arial" w:cs="Arial"/>
        </w:rPr>
        <w:t xml:space="preserve"> Regime and Resource Planning meeting recommended under PSI2017/07. </w:t>
      </w:r>
      <w:r w:rsidRPr="006E3F42">
        <w:rPr>
          <w:rFonts w:ascii="Arial" w:hAnsi="Arial" w:cs="Arial"/>
        </w:rPr>
        <w:t>Guidance for th</w:t>
      </w:r>
      <w:r w:rsidR="009B7F9C" w:rsidRPr="006E3F42">
        <w:rPr>
          <w:rFonts w:ascii="Arial" w:hAnsi="Arial" w:cs="Arial"/>
        </w:rPr>
        <w:t>e recommended</w:t>
      </w:r>
      <w:r w:rsidRPr="006E3F42">
        <w:rPr>
          <w:rFonts w:ascii="Arial" w:hAnsi="Arial" w:cs="Arial"/>
        </w:rPr>
        <w:t xml:space="preserve"> process is attached below:</w:t>
      </w:r>
    </w:p>
    <w:bookmarkStart w:id="3" w:name="_MON_1652255998"/>
    <w:bookmarkEnd w:id="3"/>
    <w:p w14:paraId="38738405" w14:textId="77777777" w:rsidR="00C55DB5" w:rsidRPr="009B7F9C" w:rsidRDefault="00C55DB5" w:rsidP="00C55DB5">
      <w:pPr>
        <w:jc w:val="both"/>
        <w:rPr>
          <w:rFonts w:ascii="Arial" w:hAnsi="Arial" w:cs="Arial"/>
        </w:rPr>
      </w:pPr>
      <w:r w:rsidRPr="009B7F9C">
        <w:rPr>
          <w:rFonts w:ascii="Arial" w:hAnsi="Arial" w:cs="Arial"/>
        </w:rPr>
        <w:object w:dxaOrig="1531" w:dyaOrig="990" w14:anchorId="4BC1F0F2">
          <v:shape id="_x0000_i1027" type="#_x0000_t75" style="width:76.45pt;height:49.5pt" o:ole="">
            <v:imagedata r:id="rId23" o:title=""/>
          </v:shape>
          <o:OLEObject Type="Embed" ProgID="Word.Document.12" ShapeID="_x0000_i1027" DrawAspect="Icon" ObjectID="_1657433291" r:id="rId24">
            <o:FieldCodes>\s</o:FieldCodes>
          </o:OLEObject>
        </w:object>
      </w:r>
    </w:p>
    <w:p w14:paraId="429C857D" w14:textId="30C1684C" w:rsidR="00C55DB5" w:rsidRPr="009B7F9C" w:rsidRDefault="00C55DB5" w:rsidP="00C55DB5">
      <w:pPr>
        <w:jc w:val="both"/>
        <w:rPr>
          <w:rFonts w:ascii="Arial" w:hAnsi="Arial" w:cs="Arial"/>
        </w:rPr>
      </w:pPr>
      <w:r w:rsidRPr="009B7F9C">
        <w:rPr>
          <w:rFonts w:ascii="Arial" w:hAnsi="Arial" w:cs="Arial"/>
        </w:rPr>
        <w:lastRenderedPageBreak/>
        <w:t xml:space="preserve">In order to be deemed ready for recovery through the Readiness Assessment, establishments must be able to show that their forecasted staffing can sustain the level of regime being proposed. </w:t>
      </w:r>
      <w:r w:rsidR="00A4279E" w:rsidRPr="009B7F9C">
        <w:rPr>
          <w:rFonts w:ascii="Arial" w:hAnsi="Arial" w:cs="Arial"/>
        </w:rPr>
        <w:t xml:space="preserve">This will be accomplished by providing a two week forecast from the Regime and Resource Planning meeting and an 8 week view of Workforce Planning. </w:t>
      </w:r>
      <w:r w:rsidR="004F5C9C" w:rsidRPr="009B7F9C">
        <w:rPr>
          <w:rFonts w:ascii="Arial" w:hAnsi="Arial" w:cs="Arial"/>
        </w:rPr>
        <w:t xml:space="preserve">As part of this, establishments are </w:t>
      </w:r>
      <w:r w:rsidR="00A4279E" w:rsidRPr="009B7F9C">
        <w:rPr>
          <w:rFonts w:ascii="Arial" w:hAnsi="Arial" w:cs="Arial"/>
        </w:rPr>
        <w:t xml:space="preserve">also </w:t>
      </w:r>
      <w:r w:rsidR="004F5C9C" w:rsidRPr="009B7F9C">
        <w:rPr>
          <w:rFonts w:ascii="Arial" w:hAnsi="Arial" w:cs="Arial"/>
        </w:rPr>
        <w:t>required to include a complete Resource Calculator (attached)</w:t>
      </w:r>
      <w:r w:rsidR="00A4279E" w:rsidRPr="009B7F9C">
        <w:rPr>
          <w:rFonts w:ascii="Arial" w:hAnsi="Arial" w:cs="Arial"/>
        </w:rPr>
        <w:t xml:space="preserve"> in consultation with local recognised Trade Unions and Staff Associations</w:t>
      </w:r>
      <w:r w:rsidR="004F5C9C" w:rsidRPr="009B7F9C">
        <w:rPr>
          <w:rFonts w:ascii="Arial" w:hAnsi="Arial" w:cs="Arial"/>
        </w:rPr>
        <w:t>.</w:t>
      </w:r>
      <w:r w:rsidR="00A4279E" w:rsidRPr="009B7F9C">
        <w:rPr>
          <w:rFonts w:ascii="Arial" w:hAnsi="Arial" w:cs="Arial"/>
        </w:rPr>
        <w:t xml:space="preserve"> Resource should be calculated to include EDM requirements as well as any new work such as new temporary accommodation or additional video courts. This will be moderated by the Prison Group Director and Executive Director through the Readiness Assess</w:t>
      </w:r>
      <w:r w:rsidR="00A24534" w:rsidRPr="009B7F9C">
        <w:rPr>
          <w:rFonts w:ascii="Arial" w:hAnsi="Arial" w:cs="Arial"/>
        </w:rPr>
        <w:t>ment.</w:t>
      </w:r>
    </w:p>
    <w:p w14:paraId="06CB0C0C" w14:textId="48CCAE66" w:rsidR="00A24534" w:rsidRPr="009B7F9C" w:rsidRDefault="00E80509" w:rsidP="00C55DB5">
      <w:pPr>
        <w:jc w:val="both"/>
        <w:rPr>
          <w:rFonts w:ascii="Arial" w:hAnsi="Arial" w:cs="Arial"/>
          <w:b/>
          <w:color w:val="FF0000"/>
        </w:rPr>
      </w:pPr>
      <w:r>
        <w:rPr>
          <w:rFonts w:ascii="Arial" w:hAnsi="Arial" w:cs="Arial"/>
          <w:b/>
          <w:color w:val="FF0000"/>
        </w:rPr>
        <w:object w:dxaOrig="2040" w:dyaOrig="1320" w14:anchorId="6F4B6CD2">
          <v:shape id="_x0000_i1028" type="#_x0000_t75" style="width:102pt;height:66pt" o:ole="">
            <v:imagedata r:id="rId25" o:title=""/>
          </v:shape>
          <o:OLEObject Type="Embed" ProgID="Excel.Sheet.12" ShapeID="_x0000_i1028" DrawAspect="Icon" ObjectID="_1657433292" r:id="rId26"/>
        </w:object>
      </w:r>
    </w:p>
    <w:p w14:paraId="3BB1B7B3" w14:textId="7C53FA6E" w:rsidR="00C55DB5" w:rsidRPr="009B7F9C" w:rsidRDefault="00C55DB5" w:rsidP="00C55DB5">
      <w:pPr>
        <w:jc w:val="both"/>
        <w:rPr>
          <w:rFonts w:ascii="Arial" w:hAnsi="Arial" w:cs="Arial"/>
        </w:rPr>
      </w:pPr>
      <w:r w:rsidRPr="009B7F9C">
        <w:rPr>
          <w:rFonts w:ascii="Arial" w:hAnsi="Arial" w:cs="Arial"/>
        </w:rPr>
        <w:t>Temporary MSL’s will need to be established and, in line with Bulletin 8, must deliver safety, security and control. These MSL’s may vary from the established MSLs due to the differing challenges posed by COVID-19 and infection control measures that need to be maintained. Consultation with</w:t>
      </w:r>
      <w:r w:rsidR="009258F4" w:rsidRPr="009B7F9C">
        <w:rPr>
          <w:rFonts w:ascii="Arial" w:hAnsi="Arial" w:cs="Arial"/>
        </w:rPr>
        <w:t xml:space="preserve"> the</w:t>
      </w:r>
      <w:r w:rsidRPr="009B7F9C">
        <w:rPr>
          <w:rFonts w:ascii="Arial" w:hAnsi="Arial" w:cs="Arial"/>
        </w:rPr>
        <w:t xml:space="preserve"> </w:t>
      </w:r>
      <w:r w:rsidR="009258F4" w:rsidRPr="009B7F9C">
        <w:rPr>
          <w:rFonts w:ascii="Arial" w:hAnsi="Arial" w:cs="Arial"/>
        </w:rPr>
        <w:t>POA</w:t>
      </w:r>
      <w:r w:rsidRPr="009B7F9C">
        <w:rPr>
          <w:rFonts w:ascii="Arial" w:hAnsi="Arial" w:cs="Arial"/>
        </w:rPr>
        <w:t xml:space="preserve"> when establishing MSL’s is a requirement under Bulletin 8.</w:t>
      </w:r>
    </w:p>
    <w:p w14:paraId="2BE119C8" w14:textId="77777777" w:rsidR="00C55DB5" w:rsidRPr="009B7F9C" w:rsidRDefault="00C55DB5" w:rsidP="00C55DB5">
      <w:pPr>
        <w:jc w:val="both"/>
        <w:rPr>
          <w:rFonts w:ascii="Arial" w:hAnsi="Arial" w:cs="Arial"/>
        </w:rPr>
      </w:pPr>
      <w:r w:rsidRPr="009B7F9C">
        <w:rPr>
          <w:rFonts w:ascii="Arial" w:hAnsi="Arial" w:cs="Arial"/>
        </w:rPr>
        <w:t xml:space="preserve">Regime and Resource Planning meetings should continue to determine the level of regime that is safe to deliver on a week by week basis and, as in business as usual circumstances, decisions will need to be made about </w:t>
      </w:r>
      <w:r w:rsidR="001B1510" w:rsidRPr="009B7F9C">
        <w:rPr>
          <w:rFonts w:ascii="Arial" w:hAnsi="Arial" w:cs="Arial"/>
        </w:rPr>
        <w:t>what can and can’t be run based on available resources.</w:t>
      </w:r>
      <w:r w:rsidRPr="009B7F9C">
        <w:rPr>
          <w:rFonts w:ascii="Arial" w:hAnsi="Arial" w:cs="Arial"/>
        </w:rPr>
        <w:t xml:space="preserve"> </w:t>
      </w:r>
      <w:r w:rsidR="001B1510" w:rsidRPr="009B7F9C">
        <w:rPr>
          <w:rFonts w:ascii="Arial" w:hAnsi="Arial" w:cs="Arial"/>
        </w:rPr>
        <w:t>These meetings should be used to communicate and co-ordinate with delivery partners to ensure they are in place to support recovery. E</w:t>
      </w:r>
      <w:r w:rsidRPr="009B7F9C">
        <w:rPr>
          <w:rFonts w:ascii="Arial" w:hAnsi="Arial" w:cs="Arial"/>
        </w:rPr>
        <w:t>stablishments must report to their respective regional Silver commander where available resource is forecasted to be unable to deliver the MSL and normal resource planning avenues (e.g. PP, volunteers, TOIL) have been exhausted.</w:t>
      </w:r>
    </w:p>
    <w:p w14:paraId="75A6D9A1" w14:textId="77777777" w:rsidR="00B8757F" w:rsidRPr="009B7F9C" w:rsidRDefault="00C55DB5" w:rsidP="001B1510">
      <w:pPr>
        <w:jc w:val="both"/>
        <w:rPr>
          <w:rFonts w:ascii="Arial" w:hAnsi="Arial" w:cs="Arial"/>
        </w:rPr>
      </w:pPr>
      <w:r w:rsidRPr="009B7F9C">
        <w:rPr>
          <w:rFonts w:ascii="Arial" w:hAnsi="Arial" w:cs="Arial"/>
        </w:rPr>
        <w:t>Minimum Alarm Response must still be i</w:t>
      </w:r>
      <w:r w:rsidR="001B1510" w:rsidRPr="009B7F9C">
        <w:rPr>
          <w:rFonts w:ascii="Arial" w:hAnsi="Arial" w:cs="Arial"/>
        </w:rPr>
        <w:t>dentified. Those staff identified as a</w:t>
      </w:r>
      <w:r w:rsidRPr="009B7F9C">
        <w:rPr>
          <w:rFonts w:ascii="Arial" w:hAnsi="Arial" w:cs="Arial"/>
        </w:rPr>
        <w:t>larm bell response must be able to respond to incidents without leaving their work area unable to work to safe operating procedures.</w:t>
      </w:r>
      <w:r w:rsidR="001B1510" w:rsidRPr="009B7F9C">
        <w:rPr>
          <w:rFonts w:ascii="Arial" w:hAnsi="Arial" w:cs="Arial"/>
        </w:rPr>
        <w:br w:type="page"/>
      </w:r>
    </w:p>
    <w:p w14:paraId="1CF7FCBC" w14:textId="77777777" w:rsidR="001B1510" w:rsidRPr="009B7F9C" w:rsidRDefault="001B1510" w:rsidP="00E63AAE">
      <w:pPr>
        <w:jc w:val="both"/>
        <w:rPr>
          <w:rFonts w:ascii="Arial" w:hAnsi="Arial" w:cs="Arial"/>
          <w:color w:val="000000" w:themeColor="text1"/>
        </w:rPr>
        <w:sectPr w:rsidR="001B1510" w:rsidRPr="009B7F9C" w:rsidSect="00DB775B">
          <w:footerReference w:type="default" r:id="rId27"/>
          <w:headerReference w:type="first" r:id="rId28"/>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296"/>
        <w:tblW w:w="15390" w:type="dxa"/>
        <w:tblLayout w:type="fixed"/>
        <w:tblLook w:val="04A0" w:firstRow="1" w:lastRow="0" w:firstColumn="1" w:lastColumn="0" w:noHBand="0" w:noVBand="1"/>
      </w:tblPr>
      <w:tblGrid>
        <w:gridCol w:w="1316"/>
        <w:gridCol w:w="214"/>
        <w:gridCol w:w="1458"/>
        <w:gridCol w:w="1276"/>
        <w:gridCol w:w="2026"/>
        <w:gridCol w:w="1688"/>
        <w:gridCol w:w="7412"/>
      </w:tblGrid>
      <w:tr w:rsidR="002F46DC" w:rsidRPr="009B7F9C" w14:paraId="10262D03" w14:textId="77777777" w:rsidTr="001B1510">
        <w:tc>
          <w:tcPr>
            <w:tcW w:w="6290" w:type="dxa"/>
            <w:gridSpan w:val="5"/>
            <w:shd w:val="clear" w:color="auto" w:fill="95B3D7" w:themeFill="accent1" w:themeFillTint="99"/>
          </w:tcPr>
          <w:p w14:paraId="70A78CE3" w14:textId="77777777" w:rsidR="002F46DC" w:rsidRPr="009B7F9C" w:rsidRDefault="002F46DC" w:rsidP="001B1510">
            <w:pPr>
              <w:jc w:val="center"/>
              <w:rPr>
                <w:rFonts w:ascii="Arial" w:hAnsi="Arial" w:cs="Arial"/>
                <w:sz w:val="32"/>
                <w:szCs w:val="32"/>
              </w:rPr>
            </w:pPr>
            <w:r w:rsidRPr="009B7F9C">
              <w:rPr>
                <w:rFonts w:ascii="Arial" w:hAnsi="Arial" w:cs="Arial"/>
                <w:color w:val="FFFFFF" w:themeColor="background1"/>
                <w:sz w:val="32"/>
                <w:szCs w:val="32"/>
              </w:rPr>
              <w:lastRenderedPageBreak/>
              <w:t>Unit Name</w:t>
            </w:r>
            <w:r w:rsidR="00FA6FED" w:rsidRPr="009B7F9C">
              <w:rPr>
                <w:rFonts w:ascii="Arial" w:hAnsi="Arial" w:cs="Arial"/>
                <w:color w:val="FFFFFF" w:themeColor="background1"/>
                <w:sz w:val="32"/>
                <w:szCs w:val="32"/>
              </w:rPr>
              <w:t xml:space="preserve"> (s)</w:t>
            </w:r>
          </w:p>
        </w:tc>
        <w:tc>
          <w:tcPr>
            <w:tcW w:w="9100" w:type="dxa"/>
            <w:gridSpan w:val="2"/>
            <w:shd w:val="clear" w:color="auto" w:fill="95B3D7" w:themeFill="accent1" w:themeFillTint="99"/>
          </w:tcPr>
          <w:p w14:paraId="66D4E370" w14:textId="77777777" w:rsidR="002F46DC" w:rsidRPr="009B7F9C" w:rsidRDefault="002F46DC" w:rsidP="001B1510">
            <w:pPr>
              <w:jc w:val="center"/>
              <w:rPr>
                <w:rFonts w:ascii="Arial" w:hAnsi="Arial" w:cs="Arial"/>
                <w:color w:val="FFFFFF" w:themeColor="background1"/>
                <w:sz w:val="32"/>
                <w:szCs w:val="32"/>
              </w:rPr>
            </w:pPr>
            <w:r w:rsidRPr="009B7F9C">
              <w:rPr>
                <w:rFonts w:ascii="Arial" w:hAnsi="Arial" w:cs="Arial"/>
                <w:color w:val="FFFFFF" w:themeColor="background1"/>
                <w:sz w:val="32"/>
                <w:szCs w:val="32"/>
              </w:rPr>
              <w:t>Overview</w:t>
            </w:r>
          </w:p>
        </w:tc>
      </w:tr>
      <w:tr w:rsidR="00C3607C" w:rsidRPr="009B7F9C" w14:paraId="0F62D16B" w14:textId="77777777" w:rsidTr="001B1510">
        <w:tc>
          <w:tcPr>
            <w:tcW w:w="1530" w:type="dxa"/>
            <w:gridSpan w:val="2"/>
            <w:shd w:val="clear" w:color="auto" w:fill="95B3D7" w:themeFill="accent1" w:themeFillTint="99"/>
          </w:tcPr>
          <w:p w14:paraId="23998018" w14:textId="77777777" w:rsidR="00C3607C" w:rsidRPr="009B7F9C" w:rsidRDefault="00C3607C" w:rsidP="001B1510">
            <w:pPr>
              <w:jc w:val="center"/>
              <w:rPr>
                <w:rFonts w:ascii="Arial" w:hAnsi="Arial" w:cs="Arial"/>
                <w:b/>
                <w:color w:val="FFFFFF" w:themeColor="background1"/>
              </w:rPr>
            </w:pPr>
            <w:r w:rsidRPr="009B7F9C">
              <w:rPr>
                <w:rFonts w:ascii="Arial" w:hAnsi="Arial" w:cs="Arial"/>
                <w:b/>
                <w:color w:val="FFFFFF" w:themeColor="background1"/>
              </w:rPr>
              <w:t>Function</w:t>
            </w:r>
          </w:p>
        </w:tc>
        <w:tc>
          <w:tcPr>
            <w:tcW w:w="4760" w:type="dxa"/>
            <w:gridSpan w:val="3"/>
          </w:tcPr>
          <w:p w14:paraId="52D3CE71" w14:textId="77777777" w:rsidR="00C3607C" w:rsidRPr="009B7F9C" w:rsidRDefault="00C3607C" w:rsidP="001B1510">
            <w:pPr>
              <w:jc w:val="both"/>
              <w:rPr>
                <w:rFonts w:ascii="Arial" w:hAnsi="Arial" w:cs="Arial"/>
              </w:rPr>
            </w:pPr>
          </w:p>
          <w:p w14:paraId="22A3A7F5" w14:textId="77777777" w:rsidR="001B1510" w:rsidRPr="009B7F9C" w:rsidRDefault="001B1510" w:rsidP="001B1510">
            <w:pPr>
              <w:jc w:val="both"/>
              <w:rPr>
                <w:rFonts w:ascii="Arial" w:hAnsi="Arial" w:cs="Arial"/>
              </w:rPr>
            </w:pPr>
          </w:p>
        </w:tc>
        <w:tc>
          <w:tcPr>
            <w:tcW w:w="9100" w:type="dxa"/>
            <w:gridSpan w:val="2"/>
            <w:vMerge w:val="restart"/>
          </w:tcPr>
          <w:p w14:paraId="7B6F32D9" w14:textId="77777777" w:rsidR="00C3607C" w:rsidRPr="009B7F9C" w:rsidRDefault="00C3607C" w:rsidP="001B1510">
            <w:pPr>
              <w:jc w:val="both"/>
              <w:rPr>
                <w:rFonts w:ascii="Arial" w:hAnsi="Arial" w:cs="Arial"/>
              </w:rPr>
            </w:pPr>
          </w:p>
          <w:p w14:paraId="73FEAEA8" w14:textId="77777777" w:rsidR="001B1510" w:rsidRPr="009B7F9C" w:rsidRDefault="001B1510" w:rsidP="001B1510">
            <w:pPr>
              <w:jc w:val="both"/>
              <w:rPr>
                <w:rFonts w:ascii="Arial" w:hAnsi="Arial" w:cs="Arial"/>
              </w:rPr>
            </w:pPr>
          </w:p>
          <w:p w14:paraId="0C7F5EBE" w14:textId="77777777" w:rsidR="001B1510" w:rsidRPr="009B7F9C" w:rsidRDefault="001B1510" w:rsidP="001B1510">
            <w:pPr>
              <w:jc w:val="both"/>
              <w:rPr>
                <w:rFonts w:ascii="Arial" w:hAnsi="Arial" w:cs="Arial"/>
              </w:rPr>
            </w:pPr>
          </w:p>
          <w:p w14:paraId="0D624E4E" w14:textId="77777777" w:rsidR="001B1510" w:rsidRPr="009B7F9C" w:rsidRDefault="001B1510" w:rsidP="001B1510">
            <w:pPr>
              <w:jc w:val="both"/>
              <w:rPr>
                <w:rFonts w:ascii="Arial" w:hAnsi="Arial" w:cs="Arial"/>
              </w:rPr>
            </w:pPr>
          </w:p>
        </w:tc>
      </w:tr>
      <w:tr w:rsidR="00C3607C" w:rsidRPr="009B7F9C" w14:paraId="4D6B0E18" w14:textId="77777777" w:rsidTr="001B1510">
        <w:tc>
          <w:tcPr>
            <w:tcW w:w="1530" w:type="dxa"/>
            <w:gridSpan w:val="2"/>
            <w:shd w:val="clear" w:color="auto" w:fill="95B3D7" w:themeFill="accent1" w:themeFillTint="99"/>
          </w:tcPr>
          <w:p w14:paraId="5D08A97F" w14:textId="77777777" w:rsidR="00C3607C" w:rsidRPr="009B7F9C" w:rsidRDefault="00C3607C" w:rsidP="001B1510">
            <w:pPr>
              <w:jc w:val="center"/>
              <w:rPr>
                <w:rFonts w:ascii="Arial" w:hAnsi="Arial" w:cs="Arial"/>
                <w:b/>
                <w:color w:val="FFFFFF" w:themeColor="background1"/>
              </w:rPr>
            </w:pPr>
            <w:r w:rsidRPr="009B7F9C">
              <w:rPr>
                <w:rFonts w:ascii="Arial" w:hAnsi="Arial" w:cs="Arial"/>
                <w:b/>
                <w:color w:val="FFFFFF" w:themeColor="background1"/>
              </w:rPr>
              <w:t>Capacity</w:t>
            </w:r>
          </w:p>
        </w:tc>
        <w:tc>
          <w:tcPr>
            <w:tcW w:w="4760" w:type="dxa"/>
            <w:gridSpan w:val="3"/>
          </w:tcPr>
          <w:p w14:paraId="305B4CBF" w14:textId="77777777" w:rsidR="00C3607C" w:rsidRPr="009B7F9C" w:rsidRDefault="00C3607C" w:rsidP="001B1510">
            <w:pPr>
              <w:jc w:val="both"/>
              <w:rPr>
                <w:rFonts w:ascii="Arial" w:hAnsi="Arial" w:cs="Arial"/>
              </w:rPr>
            </w:pPr>
          </w:p>
          <w:p w14:paraId="399C0C89" w14:textId="77777777" w:rsidR="001B1510" w:rsidRPr="009B7F9C" w:rsidRDefault="001B1510" w:rsidP="001B1510">
            <w:pPr>
              <w:jc w:val="both"/>
              <w:rPr>
                <w:rFonts w:ascii="Arial" w:hAnsi="Arial" w:cs="Arial"/>
              </w:rPr>
            </w:pPr>
          </w:p>
        </w:tc>
        <w:tc>
          <w:tcPr>
            <w:tcW w:w="9100" w:type="dxa"/>
            <w:gridSpan w:val="2"/>
            <w:vMerge/>
          </w:tcPr>
          <w:p w14:paraId="3299B2BF" w14:textId="77777777" w:rsidR="00C3607C" w:rsidRPr="009B7F9C" w:rsidRDefault="00C3607C" w:rsidP="001B1510">
            <w:pPr>
              <w:jc w:val="both"/>
              <w:rPr>
                <w:rFonts w:ascii="Arial" w:hAnsi="Arial" w:cs="Arial"/>
              </w:rPr>
            </w:pPr>
          </w:p>
        </w:tc>
      </w:tr>
      <w:tr w:rsidR="00C3607C" w:rsidRPr="009B7F9C" w14:paraId="22307616" w14:textId="77777777" w:rsidTr="001B1510">
        <w:tc>
          <w:tcPr>
            <w:tcW w:w="1530" w:type="dxa"/>
            <w:gridSpan w:val="2"/>
            <w:shd w:val="clear" w:color="auto" w:fill="95B3D7" w:themeFill="accent1" w:themeFillTint="99"/>
          </w:tcPr>
          <w:p w14:paraId="1F089E37" w14:textId="77777777" w:rsidR="00C3607C" w:rsidRPr="009B7F9C" w:rsidRDefault="00C3607C" w:rsidP="001B1510">
            <w:pPr>
              <w:jc w:val="center"/>
              <w:rPr>
                <w:rFonts w:ascii="Arial" w:hAnsi="Arial" w:cs="Arial"/>
                <w:b/>
                <w:color w:val="FFFFFF" w:themeColor="background1"/>
              </w:rPr>
            </w:pPr>
            <w:r w:rsidRPr="009B7F9C">
              <w:rPr>
                <w:rFonts w:ascii="Arial" w:hAnsi="Arial" w:cs="Arial"/>
                <w:b/>
                <w:color w:val="FFFFFF" w:themeColor="background1"/>
              </w:rPr>
              <w:t>Category</w:t>
            </w:r>
          </w:p>
        </w:tc>
        <w:tc>
          <w:tcPr>
            <w:tcW w:w="4760" w:type="dxa"/>
            <w:gridSpan w:val="3"/>
          </w:tcPr>
          <w:p w14:paraId="28AA623F" w14:textId="77777777" w:rsidR="00C3607C" w:rsidRPr="009B7F9C" w:rsidRDefault="00C3607C" w:rsidP="001B1510">
            <w:pPr>
              <w:jc w:val="both"/>
              <w:rPr>
                <w:rFonts w:ascii="Arial" w:hAnsi="Arial" w:cs="Arial"/>
              </w:rPr>
            </w:pPr>
          </w:p>
          <w:p w14:paraId="2B87E28E" w14:textId="77777777" w:rsidR="001B1510" w:rsidRPr="009B7F9C" w:rsidRDefault="001B1510" w:rsidP="001B1510">
            <w:pPr>
              <w:jc w:val="both"/>
              <w:rPr>
                <w:rFonts w:ascii="Arial" w:hAnsi="Arial" w:cs="Arial"/>
              </w:rPr>
            </w:pPr>
          </w:p>
        </w:tc>
        <w:tc>
          <w:tcPr>
            <w:tcW w:w="9100" w:type="dxa"/>
            <w:gridSpan w:val="2"/>
            <w:vMerge/>
          </w:tcPr>
          <w:p w14:paraId="170B28FF" w14:textId="77777777" w:rsidR="00C3607C" w:rsidRPr="009B7F9C" w:rsidRDefault="00C3607C" w:rsidP="001B1510">
            <w:pPr>
              <w:jc w:val="both"/>
              <w:rPr>
                <w:rFonts w:ascii="Arial" w:hAnsi="Arial" w:cs="Arial"/>
              </w:rPr>
            </w:pPr>
          </w:p>
        </w:tc>
      </w:tr>
      <w:tr w:rsidR="00EE46C1" w:rsidRPr="009B7F9C" w14:paraId="7B547AD8" w14:textId="77777777" w:rsidTr="001B1510">
        <w:tc>
          <w:tcPr>
            <w:tcW w:w="15390" w:type="dxa"/>
            <w:gridSpan w:val="7"/>
            <w:shd w:val="clear" w:color="auto" w:fill="95B3D7" w:themeFill="accent1" w:themeFillTint="99"/>
          </w:tcPr>
          <w:p w14:paraId="382EED5B" w14:textId="77777777" w:rsidR="00EE46C1" w:rsidRPr="009B7F9C" w:rsidRDefault="00EE46C1" w:rsidP="001B1510">
            <w:pPr>
              <w:jc w:val="center"/>
              <w:rPr>
                <w:rFonts w:ascii="Arial" w:hAnsi="Arial" w:cs="Arial"/>
                <w:sz w:val="32"/>
                <w:szCs w:val="32"/>
              </w:rPr>
            </w:pPr>
            <w:r w:rsidRPr="009B7F9C">
              <w:rPr>
                <w:rFonts w:ascii="Arial" w:hAnsi="Arial" w:cs="Arial"/>
                <w:color w:val="FFFFFF" w:themeColor="background1"/>
                <w:sz w:val="32"/>
                <w:szCs w:val="32"/>
              </w:rPr>
              <w:t>Layout</w:t>
            </w:r>
          </w:p>
        </w:tc>
      </w:tr>
      <w:tr w:rsidR="00EE46C1" w:rsidRPr="009B7F9C" w14:paraId="0139E3ED" w14:textId="77777777" w:rsidTr="001B1510">
        <w:tc>
          <w:tcPr>
            <w:tcW w:w="15390" w:type="dxa"/>
            <w:gridSpan w:val="7"/>
            <w:shd w:val="clear" w:color="auto" w:fill="FFFFFF" w:themeFill="background1"/>
          </w:tcPr>
          <w:p w14:paraId="72F9B8E9" w14:textId="77777777" w:rsidR="00EE46C1" w:rsidRPr="009B7F9C" w:rsidRDefault="00EE46C1" w:rsidP="001B1510">
            <w:pPr>
              <w:jc w:val="both"/>
              <w:rPr>
                <w:rFonts w:ascii="Arial" w:hAnsi="Arial" w:cs="Arial"/>
              </w:rPr>
            </w:pPr>
          </w:p>
          <w:p w14:paraId="7137BA01" w14:textId="77777777" w:rsidR="0038565B" w:rsidRPr="009B7F9C" w:rsidRDefault="0038565B" w:rsidP="001B1510">
            <w:pPr>
              <w:jc w:val="both"/>
              <w:rPr>
                <w:rFonts w:ascii="Arial" w:hAnsi="Arial" w:cs="Arial"/>
              </w:rPr>
            </w:pPr>
          </w:p>
          <w:p w14:paraId="01E79FD8" w14:textId="77777777" w:rsidR="001B1510" w:rsidRPr="009B7F9C" w:rsidRDefault="001B1510" w:rsidP="001B1510">
            <w:pPr>
              <w:jc w:val="both"/>
              <w:rPr>
                <w:rFonts w:ascii="Arial" w:hAnsi="Arial" w:cs="Arial"/>
              </w:rPr>
            </w:pPr>
          </w:p>
          <w:p w14:paraId="2DEBCF1A" w14:textId="77777777" w:rsidR="001B1510" w:rsidRPr="009B7F9C" w:rsidRDefault="001B1510" w:rsidP="001B1510">
            <w:pPr>
              <w:jc w:val="both"/>
              <w:rPr>
                <w:rFonts w:ascii="Arial" w:hAnsi="Arial" w:cs="Arial"/>
              </w:rPr>
            </w:pPr>
          </w:p>
          <w:p w14:paraId="4A74E3AD" w14:textId="77777777" w:rsidR="001B1510" w:rsidRPr="009B7F9C" w:rsidRDefault="001B1510" w:rsidP="001B1510">
            <w:pPr>
              <w:jc w:val="both"/>
              <w:rPr>
                <w:rFonts w:ascii="Arial" w:hAnsi="Arial" w:cs="Arial"/>
              </w:rPr>
            </w:pPr>
          </w:p>
          <w:p w14:paraId="014F3C6B" w14:textId="77777777" w:rsidR="0038565B" w:rsidRPr="009B7F9C" w:rsidRDefault="0038565B" w:rsidP="001B1510">
            <w:pPr>
              <w:jc w:val="both"/>
              <w:rPr>
                <w:rFonts w:ascii="Arial" w:hAnsi="Arial" w:cs="Arial"/>
              </w:rPr>
            </w:pPr>
          </w:p>
          <w:p w14:paraId="57CD7CCF" w14:textId="77777777" w:rsidR="0038565B" w:rsidRPr="009B7F9C" w:rsidRDefault="0038565B" w:rsidP="001B1510">
            <w:pPr>
              <w:jc w:val="both"/>
              <w:rPr>
                <w:rFonts w:ascii="Arial" w:hAnsi="Arial" w:cs="Arial"/>
              </w:rPr>
            </w:pPr>
          </w:p>
        </w:tc>
      </w:tr>
      <w:tr w:rsidR="006F2AD3" w:rsidRPr="009B7F9C" w14:paraId="7E6AAE98" w14:textId="77777777" w:rsidTr="001B1510">
        <w:tc>
          <w:tcPr>
            <w:tcW w:w="1316" w:type="dxa"/>
            <w:shd w:val="clear" w:color="auto" w:fill="95B3D7" w:themeFill="accent1" w:themeFillTint="99"/>
          </w:tcPr>
          <w:p w14:paraId="24E9A80E" w14:textId="77777777" w:rsidR="00AD7FCD" w:rsidRPr="009B7F9C" w:rsidRDefault="00C55DB5" w:rsidP="001B1510">
            <w:pPr>
              <w:jc w:val="center"/>
              <w:rPr>
                <w:rFonts w:ascii="Arial" w:hAnsi="Arial" w:cs="Arial"/>
                <w:b/>
              </w:rPr>
            </w:pPr>
            <w:r w:rsidRPr="009B7F9C">
              <w:rPr>
                <w:rFonts w:ascii="Arial" w:hAnsi="Arial" w:cs="Arial"/>
                <w:b/>
                <w:color w:val="FFFFFF" w:themeColor="background1"/>
              </w:rPr>
              <w:t>Regime Stage</w:t>
            </w:r>
          </w:p>
        </w:tc>
        <w:tc>
          <w:tcPr>
            <w:tcW w:w="1672" w:type="dxa"/>
            <w:gridSpan w:val="2"/>
            <w:shd w:val="clear" w:color="auto" w:fill="95B3D7" w:themeFill="accent1" w:themeFillTint="99"/>
          </w:tcPr>
          <w:p w14:paraId="32E0FA54" w14:textId="77777777" w:rsidR="00AD7FCD" w:rsidRPr="009B7F9C" w:rsidRDefault="00AD7FCD" w:rsidP="001B1510">
            <w:pPr>
              <w:jc w:val="center"/>
              <w:rPr>
                <w:rFonts w:ascii="Arial" w:hAnsi="Arial" w:cs="Arial"/>
                <w:b/>
              </w:rPr>
            </w:pPr>
            <w:r w:rsidRPr="009B7F9C">
              <w:rPr>
                <w:rFonts w:ascii="Arial" w:hAnsi="Arial" w:cs="Arial"/>
                <w:b/>
                <w:color w:val="FFFFFF" w:themeColor="background1"/>
              </w:rPr>
              <w:t>Staffing</w:t>
            </w:r>
            <w:r w:rsidR="00C55DB5" w:rsidRPr="009B7F9C">
              <w:rPr>
                <w:rFonts w:ascii="Arial" w:hAnsi="Arial" w:cs="Arial"/>
                <w:b/>
                <w:color w:val="FFFFFF" w:themeColor="background1"/>
              </w:rPr>
              <w:t xml:space="preserve"> Requirement</w:t>
            </w:r>
          </w:p>
        </w:tc>
        <w:tc>
          <w:tcPr>
            <w:tcW w:w="1276" w:type="dxa"/>
            <w:shd w:val="clear" w:color="auto" w:fill="95B3D7" w:themeFill="accent1" w:themeFillTint="99"/>
          </w:tcPr>
          <w:p w14:paraId="7BF0344D" w14:textId="77777777" w:rsidR="00AD7FCD" w:rsidRPr="009B7F9C" w:rsidRDefault="00AD7FCD" w:rsidP="001B1510">
            <w:pPr>
              <w:jc w:val="center"/>
              <w:rPr>
                <w:rFonts w:ascii="Arial" w:hAnsi="Arial" w:cs="Arial"/>
                <w:b/>
              </w:rPr>
            </w:pPr>
            <w:r w:rsidRPr="009B7F9C">
              <w:rPr>
                <w:rFonts w:ascii="Arial" w:hAnsi="Arial" w:cs="Arial"/>
                <w:b/>
                <w:color w:val="FFFFFF" w:themeColor="background1"/>
              </w:rPr>
              <w:t>Max Prisoner No’s</w:t>
            </w:r>
            <w:r w:rsidR="00C55DB5" w:rsidRPr="009B7F9C">
              <w:rPr>
                <w:rFonts w:ascii="Arial" w:hAnsi="Arial" w:cs="Arial"/>
                <w:b/>
                <w:color w:val="FFFFFF" w:themeColor="background1"/>
              </w:rPr>
              <w:t xml:space="preserve"> Unlocked</w:t>
            </w:r>
          </w:p>
        </w:tc>
        <w:tc>
          <w:tcPr>
            <w:tcW w:w="3714" w:type="dxa"/>
            <w:gridSpan w:val="2"/>
            <w:shd w:val="clear" w:color="auto" w:fill="95B3D7" w:themeFill="accent1" w:themeFillTint="99"/>
          </w:tcPr>
          <w:p w14:paraId="491376FB" w14:textId="77777777" w:rsidR="00AD7FCD" w:rsidRPr="009B7F9C" w:rsidRDefault="00AD7FCD" w:rsidP="001B1510">
            <w:pPr>
              <w:jc w:val="center"/>
              <w:rPr>
                <w:rFonts w:ascii="Arial" w:hAnsi="Arial" w:cs="Arial"/>
                <w:b/>
                <w:color w:val="FFFFFF" w:themeColor="background1"/>
              </w:rPr>
            </w:pPr>
            <w:r w:rsidRPr="009B7F9C">
              <w:rPr>
                <w:rFonts w:ascii="Arial" w:hAnsi="Arial" w:cs="Arial"/>
                <w:b/>
                <w:color w:val="FFFFFF" w:themeColor="background1"/>
              </w:rPr>
              <w:t>Work that can be delivered</w:t>
            </w:r>
          </w:p>
          <w:p w14:paraId="0AC846F1" w14:textId="77777777" w:rsidR="00AD7FCD" w:rsidRPr="009B7F9C" w:rsidRDefault="006F2AD3" w:rsidP="001B1510">
            <w:pPr>
              <w:jc w:val="center"/>
              <w:rPr>
                <w:rFonts w:ascii="Arial" w:hAnsi="Arial" w:cs="Arial"/>
                <w:b/>
                <w:color w:val="FFFFFF" w:themeColor="background1"/>
              </w:rPr>
            </w:pPr>
            <w:r w:rsidRPr="009B7F9C">
              <w:rPr>
                <w:rFonts w:ascii="Arial" w:hAnsi="Arial" w:cs="Arial"/>
                <w:b/>
                <w:color w:val="FFFFFF" w:themeColor="background1"/>
              </w:rPr>
              <w:t>(to note this work list will not be exhaustive)</w:t>
            </w:r>
          </w:p>
        </w:tc>
        <w:tc>
          <w:tcPr>
            <w:tcW w:w="7412" w:type="dxa"/>
            <w:shd w:val="clear" w:color="auto" w:fill="95B3D7" w:themeFill="accent1" w:themeFillTint="99"/>
          </w:tcPr>
          <w:p w14:paraId="4056312A" w14:textId="77777777" w:rsidR="00C55DB5" w:rsidRPr="009B7F9C" w:rsidRDefault="00AD7FCD" w:rsidP="001B1510">
            <w:pPr>
              <w:jc w:val="center"/>
              <w:rPr>
                <w:rFonts w:ascii="Arial" w:hAnsi="Arial" w:cs="Arial"/>
                <w:b/>
                <w:color w:val="FFFFFF" w:themeColor="background1"/>
              </w:rPr>
            </w:pPr>
            <w:r w:rsidRPr="009B7F9C">
              <w:rPr>
                <w:rFonts w:ascii="Arial" w:hAnsi="Arial" w:cs="Arial"/>
                <w:b/>
                <w:color w:val="FFFFFF" w:themeColor="background1"/>
              </w:rPr>
              <w:t>Specific Controls</w:t>
            </w:r>
            <w:r w:rsidR="00C55DB5" w:rsidRPr="009B7F9C">
              <w:rPr>
                <w:rFonts w:ascii="Arial" w:hAnsi="Arial" w:cs="Arial"/>
                <w:b/>
                <w:color w:val="FFFFFF" w:themeColor="background1"/>
              </w:rPr>
              <w:t xml:space="preserve"> </w:t>
            </w:r>
          </w:p>
          <w:p w14:paraId="45A8F924" w14:textId="77777777" w:rsidR="00AD7FCD" w:rsidRPr="009B7F9C" w:rsidRDefault="00C55DB5" w:rsidP="001B1510">
            <w:pPr>
              <w:jc w:val="center"/>
              <w:rPr>
                <w:rFonts w:ascii="Arial" w:hAnsi="Arial" w:cs="Arial"/>
                <w:b/>
                <w:color w:val="FFFFFF" w:themeColor="background1"/>
              </w:rPr>
            </w:pPr>
            <w:r w:rsidRPr="009B7F9C">
              <w:rPr>
                <w:rFonts w:ascii="Arial" w:hAnsi="Arial" w:cs="Arial"/>
                <w:b/>
                <w:color w:val="FFFFFF" w:themeColor="background1"/>
              </w:rPr>
              <w:t xml:space="preserve">(including Social Distancing and infection control measures) </w:t>
            </w:r>
          </w:p>
        </w:tc>
      </w:tr>
      <w:tr w:rsidR="00AD7FCD" w:rsidRPr="009B7F9C" w14:paraId="35C3C20D" w14:textId="77777777" w:rsidTr="001B1510">
        <w:tc>
          <w:tcPr>
            <w:tcW w:w="1316" w:type="dxa"/>
            <w:shd w:val="clear" w:color="auto" w:fill="auto"/>
          </w:tcPr>
          <w:p w14:paraId="5DB8F939" w14:textId="77777777" w:rsidR="00AD7FCD" w:rsidRPr="009B7F9C" w:rsidRDefault="00C55DB5" w:rsidP="001B1510">
            <w:pPr>
              <w:jc w:val="center"/>
              <w:rPr>
                <w:rFonts w:ascii="Arial" w:hAnsi="Arial" w:cs="Arial"/>
                <w:b/>
              </w:rPr>
            </w:pPr>
            <w:r w:rsidRPr="009B7F9C">
              <w:rPr>
                <w:rFonts w:ascii="Arial" w:hAnsi="Arial" w:cs="Arial"/>
                <w:b/>
              </w:rPr>
              <w:t>3</w:t>
            </w:r>
          </w:p>
        </w:tc>
        <w:tc>
          <w:tcPr>
            <w:tcW w:w="1672" w:type="dxa"/>
            <w:gridSpan w:val="2"/>
            <w:shd w:val="clear" w:color="auto" w:fill="FFFFFF" w:themeFill="background1"/>
          </w:tcPr>
          <w:p w14:paraId="1C3DF13A" w14:textId="77777777" w:rsidR="00AD7FCD" w:rsidRPr="009B7F9C" w:rsidRDefault="00AD7FCD" w:rsidP="001B1510">
            <w:pPr>
              <w:jc w:val="center"/>
              <w:rPr>
                <w:rFonts w:ascii="Arial" w:hAnsi="Arial" w:cs="Arial"/>
              </w:rPr>
            </w:pPr>
          </w:p>
          <w:p w14:paraId="0F5BF8AB" w14:textId="77777777" w:rsidR="0038565B" w:rsidRPr="009B7F9C" w:rsidRDefault="0038565B" w:rsidP="001B1510">
            <w:pPr>
              <w:jc w:val="center"/>
              <w:rPr>
                <w:rFonts w:ascii="Arial" w:hAnsi="Arial" w:cs="Arial"/>
              </w:rPr>
            </w:pPr>
          </w:p>
        </w:tc>
        <w:tc>
          <w:tcPr>
            <w:tcW w:w="1276" w:type="dxa"/>
            <w:shd w:val="clear" w:color="auto" w:fill="FFFFFF" w:themeFill="background1"/>
          </w:tcPr>
          <w:p w14:paraId="565F6D3F" w14:textId="77777777" w:rsidR="00AD7FCD" w:rsidRPr="009B7F9C" w:rsidRDefault="00AD7FCD" w:rsidP="001B1510">
            <w:pPr>
              <w:jc w:val="center"/>
              <w:rPr>
                <w:rFonts w:ascii="Arial" w:hAnsi="Arial" w:cs="Arial"/>
              </w:rPr>
            </w:pPr>
          </w:p>
        </w:tc>
        <w:tc>
          <w:tcPr>
            <w:tcW w:w="3714" w:type="dxa"/>
            <w:gridSpan w:val="2"/>
            <w:shd w:val="clear" w:color="auto" w:fill="FFFFFF" w:themeFill="background1"/>
          </w:tcPr>
          <w:p w14:paraId="25EEDB69" w14:textId="77777777" w:rsidR="00AD7FCD" w:rsidRPr="009B7F9C" w:rsidRDefault="00AD7FCD" w:rsidP="001B1510">
            <w:pPr>
              <w:rPr>
                <w:rFonts w:ascii="Arial" w:hAnsi="Arial" w:cs="Arial"/>
              </w:rPr>
            </w:pPr>
          </w:p>
        </w:tc>
        <w:tc>
          <w:tcPr>
            <w:tcW w:w="7412" w:type="dxa"/>
            <w:shd w:val="clear" w:color="auto" w:fill="FFFFFF" w:themeFill="background1"/>
          </w:tcPr>
          <w:p w14:paraId="57641699" w14:textId="77777777" w:rsidR="00AD7FCD" w:rsidRPr="009B7F9C" w:rsidRDefault="00AD7FCD" w:rsidP="001B1510">
            <w:pPr>
              <w:rPr>
                <w:rFonts w:ascii="Arial" w:hAnsi="Arial" w:cs="Arial"/>
              </w:rPr>
            </w:pPr>
          </w:p>
        </w:tc>
      </w:tr>
      <w:tr w:rsidR="002F46DC" w:rsidRPr="009B7F9C" w14:paraId="1A7EAD98" w14:textId="77777777" w:rsidTr="001B1510">
        <w:tc>
          <w:tcPr>
            <w:tcW w:w="15390" w:type="dxa"/>
            <w:gridSpan w:val="7"/>
            <w:shd w:val="clear" w:color="auto" w:fill="95B3D7" w:themeFill="accent1" w:themeFillTint="99"/>
          </w:tcPr>
          <w:p w14:paraId="31F837BA" w14:textId="77777777" w:rsidR="002F46DC" w:rsidRPr="009B7F9C" w:rsidRDefault="00C3607C" w:rsidP="001B1510">
            <w:pPr>
              <w:jc w:val="center"/>
              <w:rPr>
                <w:rFonts w:ascii="Arial" w:hAnsi="Arial" w:cs="Arial"/>
                <w:color w:val="FFFFFF" w:themeColor="background1"/>
                <w:sz w:val="32"/>
                <w:szCs w:val="32"/>
              </w:rPr>
            </w:pPr>
            <w:r w:rsidRPr="009B7F9C">
              <w:rPr>
                <w:rFonts w:ascii="Arial" w:hAnsi="Arial" w:cs="Arial"/>
                <w:color w:val="FFFFFF" w:themeColor="background1"/>
                <w:sz w:val="32"/>
                <w:szCs w:val="32"/>
              </w:rPr>
              <w:t>Additional Notes</w:t>
            </w:r>
          </w:p>
        </w:tc>
      </w:tr>
      <w:tr w:rsidR="00C3607C" w:rsidRPr="009B7F9C" w14:paraId="34B76C9F" w14:textId="77777777" w:rsidTr="001B1510">
        <w:tc>
          <w:tcPr>
            <w:tcW w:w="15390" w:type="dxa"/>
            <w:gridSpan w:val="7"/>
            <w:shd w:val="clear" w:color="auto" w:fill="FFFFFF" w:themeFill="background1"/>
          </w:tcPr>
          <w:p w14:paraId="08D65D97" w14:textId="77777777" w:rsidR="00C3607C" w:rsidRPr="009B7F9C" w:rsidRDefault="00C3607C" w:rsidP="001B1510">
            <w:pPr>
              <w:pStyle w:val="ListParagraph"/>
              <w:ind w:left="360"/>
              <w:jc w:val="both"/>
              <w:rPr>
                <w:rFonts w:ascii="Arial" w:hAnsi="Arial" w:cs="Arial"/>
              </w:rPr>
            </w:pPr>
          </w:p>
          <w:p w14:paraId="22D11444" w14:textId="77777777" w:rsidR="0038565B" w:rsidRPr="009B7F9C" w:rsidRDefault="0038565B" w:rsidP="001B1510">
            <w:pPr>
              <w:pStyle w:val="ListParagraph"/>
              <w:ind w:left="360"/>
              <w:jc w:val="both"/>
              <w:rPr>
                <w:rFonts w:ascii="Arial" w:hAnsi="Arial" w:cs="Arial"/>
              </w:rPr>
            </w:pPr>
          </w:p>
          <w:p w14:paraId="4A034733" w14:textId="77777777" w:rsidR="0038565B" w:rsidRPr="009B7F9C" w:rsidRDefault="0038565B" w:rsidP="001B1510">
            <w:pPr>
              <w:pStyle w:val="ListParagraph"/>
              <w:ind w:left="360"/>
              <w:jc w:val="both"/>
              <w:rPr>
                <w:rFonts w:ascii="Arial" w:hAnsi="Arial" w:cs="Arial"/>
              </w:rPr>
            </w:pPr>
          </w:p>
          <w:p w14:paraId="7ACF48D7" w14:textId="77777777" w:rsidR="0038565B" w:rsidRPr="009B7F9C" w:rsidRDefault="0038565B" w:rsidP="001B1510">
            <w:pPr>
              <w:pStyle w:val="ListParagraph"/>
              <w:ind w:left="360"/>
              <w:jc w:val="both"/>
              <w:rPr>
                <w:rFonts w:ascii="Arial" w:hAnsi="Arial" w:cs="Arial"/>
              </w:rPr>
            </w:pPr>
          </w:p>
          <w:p w14:paraId="7D2A4DB9" w14:textId="77777777" w:rsidR="001B1510" w:rsidRPr="009B7F9C" w:rsidRDefault="001B1510" w:rsidP="001B1510">
            <w:pPr>
              <w:pStyle w:val="ListParagraph"/>
              <w:ind w:left="360"/>
              <w:jc w:val="both"/>
              <w:rPr>
                <w:rFonts w:ascii="Arial" w:hAnsi="Arial" w:cs="Arial"/>
              </w:rPr>
            </w:pPr>
          </w:p>
          <w:p w14:paraId="5AF4A884" w14:textId="77777777" w:rsidR="001B1510" w:rsidRPr="009B7F9C" w:rsidRDefault="001B1510" w:rsidP="001B1510">
            <w:pPr>
              <w:pStyle w:val="ListParagraph"/>
              <w:ind w:left="360"/>
              <w:jc w:val="both"/>
              <w:rPr>
                <w:rFonts w:ascii="Arial" w:hAnsi="Arial" w:cs="Arial"/>
              </w:rPr>
            </w:pPr>
          </w:p>
          <w:p w14:paraId="76F1C8F6" w14:textId="77777777" w:rsidR="00AF3D7F" w:rsidRPr="009B7F9C" w:rsidRDefault="00AF3D7F" w:rsidP="00AF3D7F">
            <w:pPr>
              <w:jc w:val="both"/>
              <w:rPr>
                <w:rFonts w:ascii="Arial" w:hAnsi="Arial" w:cs="Arial"/>
              </w:rPr>
            </w:pPr>
          </w:p>
        </w:tc>
      </w:tr>
    </w:tbl>
    <w:p w14:paraId="7BCECEEC" w14:textId="77777777" w:rsidR="0038565B" w:rsidRPr="009B7F9C" w:rsidRDefault="001B1510" w:rsidP="001B1510">
      <w:pPr>
        <w:jc w:val="both"/>
        <w:rPr>
          <w:rFonts w:ascii="Arial" w:hAnsi="Arial" w:cs="Arial"/>
        </w:rPr>
      </w:pPr>
      <w:r w:rsidRPr="009B7F9C">
        <w:rPr>
          <w:rFonts w:ascii="Arial" w:hAnsi="Arial" w:cs="Arial"/>
          <w:b/>
          <w:color w:val="7030A0"/>
          <w:sz w:val="44"/>
          <w:szCs w:val="44"/>
        </w:rPr>
        <w:t>Operating Procedure Templates</w:t>
      </w:r>
    </w:p>
    <w:p w14:paraId="47E538A8" w14:textId="77777777" w:rsidR="001B1510" w:rsidRPr="009B7F9C" w:rsidRDefault="001B1510" w:rsidP="0038565B">
      <w:pPr>
        <w:rPr>
          <w:rFonts w:ascii="Arial" w:hAnsi="Arial" w:cs="Arial"/>
        </w:rPr>
      </w:pPr>
    </w:p>
    <w:p w14:paraId="3FBB67DD" w14:textId="77777777" w:rsidR="00AF3D7F" w:rsidRPr="009B7F9C" w:rsidRDefault="00AF3D7F" w:rsidP="0038565B">
      <w:pPr>
        <w:rPr>
          <w:rFonts w:ascii="Arial" w:hAnsi="Arial" w:cs="Arial"/>
        </w:rPr>
      </w:pPr>
    </w:p>
    <w:tbl>
      <w:tblPr>
        <w:tblStyle w:val="TableGrid"/>
        <w:tblW w:w="15390" w:type="dxa"/>
        <w:tblInd w:w="-612" w:type="dxa"/>
        <w:tblLayout w:type="fixed"/>
        <w:tblLook w:val="04A0" w:firstRow="1" w:lastRow="0" w:firstColumn="1" w:lastColumn="0" w:noHBand="0" w:noVBand="1"/>
      </w:tblPr>
      <w:tblGrid>
        <w:gridCol w:w="1287"/>
        <w:gridCol w:w="243"/>
        <w:gridCol w:w="1458"/>
        <w:gridCol w:w="1276"/>
        <w:gridCol w:w="2026"/>
        <w:gridCol w:w="3160"/>
        <w:gridCol w:w="5940"/>
      </w:tblGrid>
      <w:tr w:rsidR="006F2AD3" w:rsidRPr="009B7F9C" w14:paraId="2886E64A" w14:textId="77777777" w:rsidTr="00700009">
        <w:tc>
          <w:tcPr>
            <w:tcW w:w="6290" w:type="dxa"/>
            <w:gridSpan w:val="5"/>
            <w:shd w:val="clear" w:color="auto" w:fill="B2A1C7" w:themeFill="accent4" w:themeFillTint="99"/>
          </w:tcPr>
          <w:p w14:paraId="138C532B" w14:textId="77777777" w:rsidR="006F2AD3" w:rsidRPr="009B7F9C" w:rsidRDefault="006F2AD3" w:rsidP="00B8757F">
            <w:pPr>
              <w:jc w:val="center"/>
              <w:rPr>
                <w:rFonts w:ascii="Arial" w:hAnsi="Arial" w:cs="Arial"/>
                <w:sz w:val="32"/>
                <w:szCs w:val="32"/>
              </w:rPr>
            </w:pPr>
            <w:r w:rsidRPr="009B7F9C">
              <w:rPr>
                <w:rFonts w:ascii="Arial" w:hAnsi="Arial" w:cs="Arial"/>
                <w:color w:val="FFFFFF" w:themeColor="background1"/>
                <w:sz w:val="32"/>
                <w:szCs w:val="32"/>
              </w:rPr>
              <w:lastRenderedPageBreak/>
              <w:t>Activity Space</w:t>
            </w:r>
            <w:r w:rsidR="00700009" w:rsidRPr="009B7F9C">
              <w:rPr>
                <w:rFonts w:ascii="Arial" w:hAnsi="Arial" w:cs="Arial"/>
                <w:color w:val="FFFFFF" w:themeColor="background1"/>
                <w:sz w:val="32"/>
                <w:szCs w:val="32"/>
              </w:rPr>
              <w:t xml:space="preserve"> Name</w:t>
            </w:r>
          </w:p>
        </w:tc>
        <w:tc>
          <w:tcPr>
            <w:tcW w:w="9100" w:type="dxa"/>
            <w:gridSpan w:val="2"/>
            <w:shd w:val="clear" w:color="auto" w:fill="B2A1C7" w:themeFill="accent4" w:themeFillTint="99"/>
          </w:tcPr>
          <w:p w14:paraId="095F4FD9" w14:textId="77777777" w:rsidR="006F2AD3" w:rsidRPr="009B7F9C" w:rsidRDefault="006F2AD3" w:rsidP="00B8757F">
            <w:pPr>
              <w:jc w:val="center"/>
              <w:rPr>
                <w:rFonts w:ascii="Arial" w:hAnsi="Arial" w:cs="Arial"/>
                <w:color w:val="FFFFFF" w:themeColor="background1"/>
                <w:sz w:val="32"/>
                <w:szCs w:val="32"/>
              </w:rPr>
            </w:pPr>
            <w:r w:rsidRPr="009B7F9C">
              <w:rPr>
                <w:rFonts w:ascii="Arial" w:hAnsi="Arial" w:cs="Arial"/>
                <w:color w:val="FFFFFF" w:themeColor="background1"/>
                <w:sz w:val="32"/>
                <w:szCs w:val="32"/>
              </w:rPr>
              <w:t>Overview</w:t>
            </w:r>
          </w:p>
        </w:tc>
      </w:tr>
      <w:tr w:rsidR="006F2AD3" w:rsidRPr="009B7F9C" w14:paraId="0300656B" w14:textId="77777777" w:rsidTr="00700009">
        <w:tc>
          <w:tcPr>
            <w:tcW w:w="1530" w:type="dxa"/>
            <w:gridSpan w:val="2"/>
            <w:shd w:val="clear" w:color="auto" w:fill="B2A1C7" w:themeFill="accent4" w:themeFillTint="99"/>
          </w:tcPr>
          <w:p w14:paraId="5A3D7009" w14:textId="77777777" w:rsidR="006F2AD3" w:rsidRPr="009B7F9C" w:rsidRDefault="006F2AD3" w:rsidP="00B8757F">
            <w:pPr>
              <w:jc w:val="center"/>
              <w:rPr>
                <w:rFonts w:ascii="Arial" w:hAnsi="Arial" w:cs="Arial"/>
                <w:b/>
                <w:color w:val="FFFFFF" w:themeColor="background1"/>
              </w:rPr>
            </w:pPr>
            <w:r w:rsidRPr="009B7F9C">
              <w:rPr>
                <w:rFonts w:ascii="Arial" w:hAnsi="Arial" w:cs="Arial"/>
                <w:b/>
                <w:color w:val="FFFFFF" w:themeColor="background1"/>
              </w:rPr>
              <w:t>Activity</w:t>
            </w:r>
          </w:p>
        </w:tc>
        <w:tc>
          <w:tcPr>
            <w:tcW w:w="4760" w:type="dxa"/>
            <w:gridSpan w:val="3"/>
          </w:tcPr>
          <w:p w14:paraId="01FFEA3B" w14:textId="77777777" w:rsidR="006F2AD3" w:rsidRPr="009B7F9C" w:rsidRDefault="006F2AD3" w:rsidP="008E20C6">
            <w:pPr>
              <w:jc w:val="both"/>
              <w:rPr>
                <w:rFonts w:ascii="Arial" w:hAnsi="Arial" w:cs="Arial"/>
              </w:rPr>
            </w:pPr>
          </w:p>
          <w:p w14:paraId="51C98E8F" w14:textId="77777777" w:rsidR="001B1510" w:rsidRPr="009B7F9C" w:rsidRDefault="001B1510" w:rsidP="008E20C6">
            <w:pPr>
              <w:jc w:val="both"/>
              <w:rPr>
                <w:rFonts w:ascii="Arial" w:hAnsi="Arial" w:cs="Arial"/>
              </w:rPr>
            </w:pPr>
          </w:p>
        </w:tc>
        <w:tc>
          <w:tcPr>
            <w:tcW w:w="9100" w:type="dxa"/>
            <w:gridSpan w:val="2"/>
            <w:vMerge w:val="restart"/>
          </w:tcPr>
          <w:p w14:paraId="3C6ED579" w14:textId="77777777" w:rsidR="006F2AD3" w:rsidRPr="009B7F9C" w:rsidRDefault="006F2AD3" w:rsidP="008E20C6">
            <w:pPr>
              <w:jc w:val="both"/>
              <w:rPr>
                <w:rFonts w:ascii="Arial" w:hAnsi="Arial" w:cs="Arial"/>
              </w:rPr>
            </w:pPr>
          </w:p>
        </w:tc>
      </w:tr>
      <w:tr w:rsidR="006F2AD3" w:rsidRPr="009B7F9C" w14:paraId="0BE0B88B" w14:textId="77777777" w:rsidTr="00700009">
        <w:tc>
          <w:tcPr>
            <w:tcW w:w="1530" w:type="dxa"/>
            <w:gridSpan w:val="2"/>
            <w:shd w:val="clear" w:color="auto" w:fill="B2A1C7" w:themeFill="accent4" w:themeFillTint="99"/>
          </w:tcPr>
          <w:p w14:paraId="413F60E9" w14:textId="77777777" w:rsidR="006F2AD3" w:rsidRPr="009B7F9C" w:rsidRDefault="006F2AD3" w:rsidP="00B8757F">
            <w:pPr>
              <w:jc w:val="center"/>
              <w:rPr>
                <w:rFonts w:ascii="Arial" w:hAnsi="Arial" w:cs="Arial"/>
                <w:b/>
                <w:color w:val="FFFFFF" w:themeColor="background1"/>
              </w:rPr>
            </w:pPr>
            <w:r w:rsidRPr="009B7F9C">
              <w:rPr>
                <w:rFonts w:ascii="Arial" w:hAnsi="Arial" w:cs="Arial"/>
                <w:b/>
                <w:color w:val="FFFFFF" w:themeColor="background1"/>
              </w:rPr>
              <w:t>Capacity</w:t>
            </w:r>
          </w:p>
        </w:tc>
        <w:tc>
          <w:tcPr>
            <w:tcW w:w="4760" w:type="dxa"/>
            <w:gridSpan w:val="3"/>
          </w:tcPr>
          <w:p w14:paraId="3775967A" w14:textId="77777777" w:rsidR="006F2AD3" w:rsidRPr="009B7F9C" w:rsidRDefault="006F2AD3" w:rsidP="00B8757F">
            <w:pPr>
              <w:jc w:val="both"/>
              <w:rPr>
                <w:rFonts w:ascii="Arial" w:hAnsi="Arial" w:cs="Arial"/>
              </w:rPr>
            </w:pPr>
          </w:p>
          <w:p w14:paraId="351A89E8" w14:textId="77777777" w:rsidR="001B1510" w:rsidRPr="009B7F9C" w:rsidRDefault="001B1510" w:rsidP="00B8757F">
            <w:pPr>
              <w:jc w:val="both"/>
              <w:rPr>
                <w:rFonts w:ascii="Arial" w:hAnsi="Arial" w:cs="Arial"/>
              </w:rPr>
            </w:pPr>
          </w:p>
        </w:tc>
        <w:tc>
          <w:tcPr>
            <w:tcW w:w="9100" w:type="dxa"/>
            <w:gridSpan w:val="2"/>
            <w:vMerge/>
          </w:tcPr>
          <w:p w14:paraId="56295CFA" w14:textId="77777777" w:rsidR="006F2AD3" w:rsidRPr="009B7F9C" w:rsidRDefault="006F2AD3" w:rsidP="00B8757F">
            <w:pPr>
              <w:jc w:val="both"/>
              <w:rPr>
                <w:rFonts w:ascii="Arial" w:hAnsi="Arial" w:cs="Arial"/>
              </w:rPr>
            </w:pPr>
          </w:p>
        </w:tc>
      </w:tr>
      <w:tr w:rsidR="006F2AD3" w:rsidRPr="009B7F9C" w14:paraId="7287B293" w14:textId="77777777" w:rsidTr="00700009">
        <w:tc>
          <w:tcPr>
            <w:tcW w:w="15390" w:type="dxa"/>
            <w:gridSpan w:val="7"/>
            <w:shd w:val="clear" w:color="auto" w:fill="B2A1C7" w:themeFill="accent4" w:themeFillTint="99"/>
          </w:tcPr>
          <w:p w14:paraId="4714582E" w14:textId="77777777" w:rsidR="006F2AD3" w:rsidRPr="009B7F9C" w:rsidRDefault="006F2AD3" w:rsidP="00B8757F">
            <w:pPr>
              <w:jc w:val="center"/>
              <w:rPr>
                <w:rFonts w:ascii="Arial" w:hAnsi="Arial" w:cs="Arial"/>
                <w:sz w:val="32"/>
                <w:szCs w:val="32"/>
              </w:rPr>
            </w:pPr>
            <w:r w:rsidRPr="009B7F9C">
              <w:rPr>
                <w:rFonts w:ascii="Arial" w:hAnsi="Arial" w:cs="Arial"/>
                <w:color w:val="FFFFFF" w:themeColor="background1"/>
                <w:sz w:val="32"/>
                <w:szCs w:val="32"/>
              </w:rPr>
              <w:t>Layout</w:t>
            </w:r>
          </w:p>
        </w:tc>
      </w:tr>
      <w:tr w:rsidR="006F2AD3" w:rsidRPr="009B7F9C" w14:paraId="5DFF5B11" w14:textId="77777777" w:rsidTr="00B8757F">
        <w:tc>
          <w:tcPr>
            <w:tcW w:w="15390" w:type="dxa"/>
            <w:gridSpan w:val="7"/>
            <w:shd w:val="clear" w:color="auto" w:fill="FFFFFF" w:themeFill="background1"/>
          </w:tcPr>
          <w:p w14:paraId="5ADAB7BF" w14:textId="77777777" w:rsidR="005F65E6" w:rsidRPr="009B7F9C" w:rsidRDefault="005F65E6" w:rsidP="0038565B">
            <w:pPr>
              <w:jc w:val="both"/>
              <w:rPr>
                <w:rFonts w:ascii="Arial" w:hAnsi="Arial" w:cs="Arial"/>
              </w:rPr>
            </w:pPr>
          </w:p>
          <w:p w14:paraId="13C80E74" w14:textId="77777777" w:rsidR="001B1510" w:rsidRPr="009B7F9C" w:rsidRDefault="001B1510" w:rsidP="0038565B">
            <w:pPr>
              <w:jc w:val="both"/>
              <w:rPr>
                <w:rFonts w:ascii="Arial" w:hAnsi="Arial" w:cs="Arial"/>
              </w:rPr>
            </w:pPr>
          </w:p>
          <w:p w14:paraId="7CDF397A" w14:textId="77777777" w:rsidR="001B1510" w:rsidRPr="009B7F9C" w:rsidRDefault="001B1510" w:rsidP="0038565B">
            <w:pPr>
              <w:jc w:val="both"/>
              <w:rPr>
                <w:rFonts w:ascii="Arial" w:hAnsi="Arial" w:cs="Arial"/>
              </w:rPr>
            </w:pPr>
          </w:p>
          <w:p w14:paraId="1AACE626" w14:textId="77777777" w:rsidR="001B1510" w:rsidRPr="009B7F9C" w:rsidRDefault="001B1510" w:rsidP="0038565B">
            <w:pPr>
              <w:jc w:val="both"/>
              <w:rPr>
                <w:rFonts w:ascii="Arial" w:hAnsi="Arial" w:cs="Arial"/>
              </w:rPr>
            </w:pPr>
          </w:p>
          <w:p w14:paraId="7605F7C6" w14:textId="77777777" w:rsidR="001B1510" w:rsidRPr="009B7F9C" w:rsidRDefault="001B1510" w:rsidP="0038565B">
            <w:pPr>
              <w:jc w:val="both"/>
              <w:rPr>
                <w:rFonts w:ascii="Arial" w:hAnsi="Arial" w:cs="Arial"/>
              </w:rPr>
            </w:pPr>
          </w:p>
        </w:tc>
      </w:tr>
      <w:tr w:rsidR="006F2AD3" w:rsidRPr="009B7F9C" w14:paraId="28513117" w14:textId="77777777" w:rsidTr="00C55DB5">
        <w:tc>
          <w:tcPr>
            <w:tcW w:w="1287" w:type="dxa"/>
            <w:shd w:val="clear" w:color="auto" w:fill="B2A1C7" w:themeFill="accent4" w:themeFillTint="99"/>
          </w:tcPr>
          <w:p w14:paraId="285589FF" w14:textId="77777777" w:rsidR="006F2AD3" w:rsidRPr="009B7F9C" w:rsidRDefault="00C55DB5" w:rsidP="00B8757F">
            <w:pPr>
              <w:jc w:val="center"/>
              <w:rPr>
                <w:rFonts w:ascii="Arial" w:hAnsi="Arial" w:cs="Arial"/>
                <w:b/>
              </w:rPr>
            </w:pPr>
            <w:r w:rsidRPr="009B7F9C">
              <w:rPr>
                <w:rFonts w:ascii="Arial" w:hAnsi="Arial" w:cs="Arial"/>
                <w:b/>
                <w:color w:val="FFFFFF" w:themeColor="background1"/>
              </w:rPr>
              <w:t>Regime Stage</w:t>
            </w:r>
          </w:p>
        </w:tc>
        <w:tc>
          <w:tcPr>
            <w:tcW w:w="1701" w:type="dxa"/>
            <w:gridSpan w:val="2"/>
            <w:shd w:val="clear" w:color="auto" w:fill="B2A1C7" w:themeFill="accent4" w:themeFillTint="99"/>
          </w:tcPr>
          <w:p w14:paraId="749BC7E9" w14:textId="77777777" w:rsidR="006F2AD3" w:rsidRPr="009B7F9C" w:rsidRDefault="006F2AD3" w:rsidP="00B8757F">
            <w:pPr>
              <w:jc w:val="center"/>
              <w:rPr>
                <w:rFonts w:ascii="Arial" w:hAnsi="Arial" w:cs="Arial"/>
                <w:b/>
              </w:rPr>
            </w:pPr>
            <w:r w:rsidRPr="009B7F9C">
              <w:rPr>
                <w:rFonts w:ascii="Arial" w:hAnsi="Arial" w:cs="Arial"/>
                <w:b/>
                <w:color w:val="FFFFFF" w:themeColor="background1"/>
              </w:rPr>
              <w:t>Staffing</w:t>
            </w:r>
            <w:r w:rsidR="00C55DB5" w:rsidRPr="009B7F9C">
              <w:rPr>
                <w:rFonts w:ascii="Arial" w:hAnsi="Arial" w:cs="Arial"/>
                <w:b/>
                <w:color w:val="FFFFFF" w:themeColor="background1"/>
              </w:rPr>
              <w:t xml:space="preserve"> Requirement</w:t>
            </w:r>
          </w:p>
        </w:tc>
        <w:tc>
          <w:tcPr>
            <w:tcW w:w="1276" w:type="dxa"/>
            <w:shd w:val="clear" w:color="auto" w:fill="B2A1C7" w:themeFill="accent4" w:themeFillTint="99"/>
          </w:tcPr>
          <w:p w14:paraId="17513267" w14:textId="77777777" w:rsidR="006F2AD3" w:rsidRPr="009B7F9C" w:rsidRDefault="006F2AD3" w:rsidP="00B8757F">
            <w:pPr>
              <w:jc w:val="center"/>
              <w:rPr>
                <w:rFonts w:ascii="Arial" w:hAnsi="Arial" w:cs="Arial"/>
                <w:b/>
              </w:rPr>
            </w:pPr>
            <w:r w:rsidRPr="009B7F9C">
              <w:rPr>
                <w:rFonts w:ascii="Arial" w:hAnsi="Arial" w:cs="Arial"/>
                <w:b/>
                <w:color w:val="FFFFFF" w:themeColor="background1"/>
              </w:rPr>
              <w:t>Max Prisoner No’s</w:t>
            </w:r>
            <w:r w:rsidR="00C55DB5" w:rsidRPr="009B7F9C">
              <w:rPr>
                <w:rFonts w:ascii="Arial" w:hAnsi="Arial" w:cs="Arial"/>
                <w:b/>
                <w:color w:val="FFFFFF" w:themeColor="background1"/>
              </w:rPr>
              <w:t xml:space="preserve"> Unlocked</w:t>
            </w:r>
          </w:p>
        </w:tc>
        <w:tc>
          <w:tcPr>
            <w:tcW w:w="5186" w:type="dxa"/>
            <w:gridSpan w:val="2"/>
            <w:shd w:val="clear" w:color="auto" w:fill="B2A1C7" w:themeFill="accent4" w:themeFillTint="99"/>
          </w:tcPr>
          <w:p w14:paraId="21075D88" w14:textId="77777777" w:rsidR="006F2AD3" w:rsidRPr="009B7F9C" w:rsidRDefault="006F2AD3" w:rsidP="00B8757F">
            <w:pPr>
              <w:jc w:val="center"/>
              <w:rPr>
                <w:rFonts w:ascii="Arial" w:hAnsi="Arial" w:cs="Arial"/>
                <w:b/>
                <w:color w:val="FFFFFF" w:themeColor="background1"/>
              </w:rPr>
            </w:pPr>
            <w:r w:rsidRPr="009B7F9C">
              <w:rPr>
                <w:rFonts w:ascii="Arial" w:hAnsi="Arial" w:cs="Arial"/>
                <w:b/>
                <w:color w:val="FFFFFF" w:themeColor="background1"/>
              </w:rPr>
              <w:t>Work that can be delivered</w:t>
            </w:r>
          </w:p>
          <w:p w14:paraId="329BE227" w14:textId="77777777" w:rsidR="006F2AD3" w:rsidRPr="009B7F9C" w:rsidRDefault="006F2AD3" w:rsidP="00B8757F">
            <w:pPr>
              <w:jc w:val="center"/>
              <w:rPr>
                <w:rFonts w:ascii="Arial" w:hAnsi="Arial" w:cs="Arial"/>
                <w:b/>
                <w:color w:val="FFFFFF" w:themeColor="background1"/>
              </w:rPr>
            </w:pPr>
            <w:r w:rsidRPr="009B7F9C">
              <w:rPr>
                <w:rFonts w:ascii="Arial" w:hAnsi="Arial" w:cs="Arial"/>
                <w:b/>
                <w:color w:val="FFFFFF" w:themeColor="background1"/>
              </w:rPr>
              <w:t>(to note this work list will not be exhaustive)</w:t>
            </w:r>
          </w:p>
        </w:tc>
        <w:tc>
          <w:tcPr>
            <w:tcW w:w="5940" w:type="dxa"/>
            <w:shd w:val="clear" w:color="auto" w:fill="B2A1C7" w:themeFill="accent4" w:themeFillTint="99"/>
          </w:tcPr>
          <w:p w14:paraId="213FD167" w14:textId="77777777" w:rsidR="006F2AD3" w:rsidRPr="009B7F9C" w:rsidRDefault="006F2AD3" w:rsidP="00B8757F">
            <w:pPr>
              <w:jc w:val="center"/>
              <w:rPr>
                <w:rFonts w:ascii="Arial" w:hAnsi="Arial" w:cs="Arial"/>
                <w:b/>
                <w:color w:val="FFFFFF" w:themeColor="background1"/>
              </w:rPr>
            </w:pPr>
            <w:r w:rsidRPr="009B7F9C">
              <w:rPr>
                <w:rFonts w:ascii="Arial" w:hAnsi="Arial" w:cs="Arial"/>
                <w:b/>
                <w:color w:val="FFFFFF" w:themeColor="background1"/>
              </w:rPr>
              <w:t>Specific Controls</w:t>
            </w:r>
          </w:p>
        </w:tc>
      </w:tr>
      <w:tr w:rsidR="0038565B" w:rsidRPr="009B7F9C" w14:paraId="21B11D5F" w14:textId="77777777" w:rsidTr="00C55DB5">
        <w:tc>
          <w:tcPr>
            <w:tcW w:w="1287" w:type="dxa"/>
            <w:shd w:val="clear" w:color="auto" w:fill="auto"/>
          </w:tcPr>
          <w:p w14:paraId="4DD4FC92" w14:textId="77777777" w:rsidR="0038565B" w:rsidRPr="009B7F9C" w:rsidRDefault="00C55DB5" w:rsidP="00B8757F">
            <w:pPr>
              <w:jc w:val="center"/>
              <w:rPr>
                <w:rFonts w:ascii="Arial" w:hAnsi="Arial" w:cs="Arial"/>
                <w:b/>
              </w:rPr>
            </w:pPr>
            <w:r w:rsidRPr="009B7F9C">
              <w:rPr>
                <w:rFonts w:ascii="Arial" w:hAnsi="Arial" w:cs="Arial"/>
                <w:b/>
              </w:rPr>
              <w:t>3</w:t>
            </w:r>
          </w:p>
        </w:tc>
        <w:tc>
          <w:tcPr>
            <w:tcW w:w="1701" w:type="dxa"/>
            <w:gridSpan w:val="2"/>
            <w:shd w:val="clear" w:color="auto" w:fill="FFFFFF" w:themeFill="background1"/>
          </w:tcPr>
          <w:p w14:paraId="7EEA563C" w14:textId="77777777" w:rsidR="0038565B" w:rsidRPr="009B7F9C" w:rsidRDefault="0038565B" w:rsidP="006F2AD3">
            <w:pPr>
              <w:jc w:val="center"/>
              <w:rPr>
                <w:rFonts w:ascii="Arial" w:hAnsi="Arial" w:cs="Arial"/>
              </w:rPr>
            </w:pPr>
          </w:p>
          <w:p w14:paraId="7EFB3CE5" w14:textId="77777777" w:rsidR="001B1510" w:rsidRPr="009B7F9C" w:rsidRDefault="001B1510" w:rsidP="006F2AD3">
            <w:pPr>
              <w:jc w:val="center"/>
              <w:rPr>
                <w:rFonts w:ascii="Arial" w:hAnsi="Arial" w:cs="Arial"/>
              </w:rPr>
            </w:pPr>
          </w:p>
        </w:tc>
        <w:tc>
          <w:tcPr>
            <w:tcW w:w="1276" w:type="dxa"/>
            <w:shd w:val="clear" w:color="auto" w:fill="FFFFFF" w:themeFill="background1"/>
          </w:tcPr>
          <w:p w14:paraId="075C1C33" w14:textId="77777777" w:rsidR="0038565B" w:rsidRPr="009B7F9C" w:rsidRDefault="0038565B" w:rsidP="00B8757F">
            <w:pPr>
              <w:jc w:val="center"/>
              <w:rPr>
                <w:rFonts w:ascii="Arial" w:hAnsi="Arial" w:cs="Arial"/>
              </w:rPr>
            </w:pPr>
          </w:p>
        </w:tc>
        <w:tc>
          <w:tcPr>
            <w:tcW w:w="5186" w:type="dxa"/>
            <w:gridSpan w:val="2"/>
            <w:shd w:val="clear" w:color="auto" w:fill="FFFFFF" w:themeFill="background1"/>
          </w:tcPr>
          <w:p w14:paraId="73B27F81" w14:textId="77777777" w:rsidR="0038565B" w:rsidRPr="009B7F9C" w:rsidRDefault="0038565B" w:rsidP="00B8757F">
            <w:pPr>
              <w:rPr>
                <w:rFonts w:ascii="Arial" w:hAnsi="Arial" w:cs="Arial"/>
              </w:rPr>
            </w:pPr>
          </w:p>
        </w:tc>
        <w:tc>
          <w:tcPr>
            <w:tcW w:w="5940" w:type="dxa"/>
            <w:shd w:val="clear" w:color="auto" w:fill="FFFFFF" w:themeFill="background1"/>
          </w:tcPr>
          <w:p w14:paraId="21D273CC" w14:textId="77777777" w:rsidR="0038565B" w:rsidRPr="009B7F9C" w:rsidRDefault="0038565B" w:rsidP="006F2AD3">
            <w:pPr>
              <w:pStyle w:val="ListParagraph"/>
              <w:ind w:left="360"/>
              <w:rPr>
                <w:rFonts w:ascii="Arial" w:hAnsi="Arial" w:cs="Arial"/>
              </w:rPr>
            </w:pPr>
          </w:p>
        </w:tc>
      </w:tr>
      <w:tr w:rsidR="006F2AD3" w14:paraId="4FA8D428" w14:textId="77777777" w:rsidTr="00700009">
        <w:tc>
          <w:tcPr>
            <w:tcW w:w="15390" w:type="dxa"/>
            <w:gridSpan w:val="7"/>
            <w:shd w:val="clear" w:color="auto" w:fill="B2A1C7" w:themeFill="accent4" w:themeFillTint="99"/>
          </w:tcPr>
          <w:p w14:paraId="22C08B32" w14:textId="77777777" w:rsidR="006F2AD3" w:rsidRPr="00C3607C" w:rsidRDefault="006F2AD3" w:rsidP="00B8757F">
            <w:pPr>
              <w:jc w:val="center"/>
              <w:rPr>
                <w:rFonts w:ascii="Arial" w:hAnsi="Arial" w:cs="Arial"/>
                <w:color w:val="FFFFFF" w:themeColor="background1"/>
                <w:sz w:val="32"/>
                <w:szCs w:val="32"/>
              </w:rPr>
            </w:pPr>
            <w:r w:rsidRPr="009B7F9C">
              <w:rPr>
                <w:rFonts w:ascii="Arial" w:hAnsi="Arial" w:cs="Arial"/>
                <w:color w:val="FFFFFF" w:themeColor="background1"/>
                <w:sz w:val="32"/>
                <w:szCs w:val="32"/>
              </w:rPr>
              <w:t>Additional Notes</w:t>
            </w:r>
          </w:p>
        </w:tc>
      </w:tr>
      <w:tr w:rsidR="006F2AD3" w14:paraId="5AF24E04" w14:textId="77777777" w:rsidTr="00B8757F">
        <w:tc>
          <w:tcPr>
            <w:tcW w:w="15390" w:type="dxa"/>
            <w:gridSpan w:val="7"/>
            <w:shd w:val="clear" w:color="auto" w:fill="FFFFFF" w:themeFill="background1"/>
          </w:tcPr>
          <w:p w14:paraId="1ADFD7F4" w14:textId="77777777" w:rsidR="006F2AD3" w:rsidRDefault="006F2AD3" w:rsidP="00B8757F">
            <w:pPr>
              <w:jc w:val="center"/>
              <w:rPr>
                <w:rFonts w:ascii="Arial" w:hAnsi="Arial" w:cs="Arial"/>
              </w:rPr>
            </w:pPr>
          </w:p>
          <w:p w14:paraId="186C61D1" w14:textId="77777777" w:rsidR="006F2AD3" w:rsidRDefault="006F2AD3" w:rsidP="00B8757F">
            <w:pPr>
              <w:jc w:val="center"/>
              <w:rPr>
                <w:rFonts w:ascii="Arial" w:hAnsi="Arial" w:cs="Arial"/>
              </w:rPr>
            </w:pPr>
          </w:p>
          <w:p w14:paraId="10F14EEB" w14:textId="77777777" w:rsidR="005F65E6" w:rsidRDefault="005F65E6" w:rsidP="00B8757F">
            <w:pPr>
              <w:jc w:val="center"/>
              <w:rPr>
                <w:rFonts w:ascii="Arial" w:hAnsi="Arial" w:cs="Arial"/>
              </w:rPr>
            </w:pPr>
          </w:p>
          <w:p w14:paraId="146D457F" w14:textId="77777777" w:rsidR="005F65E6" w:rsidRDefault="005F65E6" w:rsidP="00B8757F">
            <w:pPr>
              <w:jc w:val="center"/>
              <w:rPr>
                <w:rFonts w:ascii="Arial" w:hAnsi="Arial" w:cs="Arial"/>
              </w:rPr>
            </w:pPr>
          </w:p>
          <w:p w14:paraId="3F0FCE7C" w14:textId="77777777" w:rsidR="001B1510" w:rsidRDefault="001B1510" w:rsidP="00B8757F">
            <w:pPr>
              <w:jc w:val="center"/>
              <w:rPr>
                <w:rFonts w:ascii="Arial" w:hAnsi="Arial" w:cs="Arial"/>
              </w:rPr>
            </w:pPr>
          </w:p>
          <w:p w14:paraId="5C715179" w14:textId="77777777" w:rsidR="001B1510" w:rsidRDefault="001B1510" w:rsidP="00B8757F">
            <w:pPr>
              <w:jc w:val="center"/>
              <w:rPr>
                <w:rFonts w:ascii="Arial" w:hAnsi="Arial" w:cs="Arial"/>
              </w:rPr>
            </w:pPr>
          </w:p>
          <w:p w14:paraId="024F746A" w14:textId="77777777" w:rsidR="001B1510" w:rsidRDefault="001B1510" w:rsidP="001B1510">
            <w:pPr>
              <w:rPr>
                <w:rFonts w:ascii="Arial" w:hAnsi="Arial" w:cs="Arial"/>
              </w:rPr>
            </w:pPr>
          </w:p>
          <w:p w14:paraId="3D31B7BC" w14:textId="77777777" w:rsidR="005F65E6" w:rsidRDefault="005F65E6" w:rsidP="00B8757F">
            <w:pPr>
              <w:jc w:val="center"/>
              <w:rPr>
                <w:rFonts w:ascii="Arial" w:hAnsi="Arial" w:cs="Arial"/>
              </w:rPr>
            </w:pPr>
          </w:p>
          <w:p w14:paraId="37628E1A" w14:textId="77777777" w:rsidR="005F65E6" w:rsidRDefault="005F65E6" w:rsidP="00B8757F">
            <w:pPr>
              <w:jc w:val="center"/>
              <w:rPr>
                <w:rFonts w:ascii="Arial" w:hAnsi="Arial" w:cs="Arial"/>
              </w:rPr>
            </w:pPr>
          </w:p>
        </w:tc>
      </w:tr>
    </w:tbl>
    <w:p w14:paraId="1CA7CFBD" w14:textId="77777777" w:rsidR="006F2AD3" w:rsidRDefault="006F2AD3" w:rsidP="00E63AAE">
      <w:pPr>
        <w:jc w:val="both"/>
        <w:rPr>
          <w:rFonts w:ascii="Arial" w:hAnsi="Arial" w:cs="Arial"/>
        </w:rPr>
      </w:pPr>
    </w:p>
    <w:p w14:paraId="66CA8A5B" w14:textId="77777777" w:rsidR="001B1510" w:rsidRDefault="001B1510">
      <w:pPr>
        <w:rPr>
          <w:rFonts w:ascii="Arial" w:hAnsi="Arial" w:cs="Arial"/>
        </w:rPr>
        <w:sectPr w:rsidR="001B1510" w:rsidSect="001B1510">
          <w:headerReference w:type="default" r:id="rId29"/>
          <w:pgSz w:w="16838" w:h="11906" w:orient="landscape"/>
          <w:pgMar w:top="851" w:right="1440" w:bottom="1134" w:left="1440" w:header="709" w:footer="709" w:gutter="0"/>
          <w:cols w:space="708"/>
          <w:docGrid w:linePitch="360"/>
        </w:sectPr>
      </w:pPr>
    </w:p>
    <w:p w14:paraId="59DA5814" w14:textId="6AC9C630" w:rsidR="001B1510" w:rsidRPr="006E3F42" w:rsidRDefault="006E3F42" w:rsidP="006E3F42">
      <w:pPr>
        <w:jc w:val="center"/>
        <w:rPr>
          <w:rFonts w:ascii="Arial" w:hAnsi="Arial" w:cs="Arial"/>
          <w:sz w:val="24"/>
        </w:rPr>
      </w:pPr>
      <w:r w:rsidRPr="006E3F42">
        <w:rPr>
          <w:rFonts w:ascii="Arial" w:hAnsi="Arial" w:cs="Arial"/>
          <w:sz w:val="24"/>
        </w:rPr>
        <w:lastRenderedPageBreak/>
        <w:t>(intentionally blank)</w:t>
      </w:r>
    </w:p>
    <w:sectPr w:rsidR="001B1510" w:rsidRPr="006E3F42" w:rsidSect="001B1510">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A7E3" w14:textId="77777777" w:rsidR="00C96C55" w:rsidRDefault="00C96C55" w:rsidP="00C04179">
      <w:pPr>
        <w:spacing w:after="0" w:line="240" w:lineRule="auto"/>
      </w:pPr>
      <w:r>
        <w:separator/>
      </w:r>
    </w:p>
  </w:endnote>
  <w:endnote w:type="continuationSeparator" w:id="0">
    <w:p w14:paraId="788891CC" w14:textId="77777777" w:rsidR="00C96C55" w:rsidRDefault="00C96C55" w:rsidP="00C0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35FE" w14:textId="77777777" w:rsidR="000A4376" w:rsidRDefault="000A4376">
    <w:pPr>
      <w:pStyle w:val="Footer"/>
    </w:pPr>
  </w:p>
  <w:p w14:paraId="712FFF80" w14:textId="77777777" w:rsidR="000A4376" w:rsidRDefault="000A4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5568" w14:textId="77777777" w:rsidR="00C55DB5" w:rsidRDefault="00C55DB5">
    <w:pPr>
      <w:pStyle w:val="Footer"/>
    </w:pPr>
    <w:r>
      <w:rPr>
        <w:noProof/>
        <w:lang w:eastAsia="en-GB"/>
      </w:rPr>
      <w:drawing>
        <wp:anchor distT="0" distB="1778" distL="114300" distR="114300" simplePos="0" relativeHeight="251662336" behindDoc="1" locked="1" layoutInCell="1" allowOverlap="1" wp14:anchorId="3A5003DD" wp14:editId="2AB10AEE">
          <wp:simplePos x="0" y="0"/>
          <wp:positionH relativeFrom="page">
            <wp:posOffset>0</wp:posOffset>
          </wp:positionH>
          <wp:positionV relativeFrom="page">
            <wp:posOffset>8938260</wp:posOffset>
          </wp:positionV>
          <wp:extent cx="7560310" cy="2059305"/>
          <wp:effectExtent l="0" t="0" r="2540" b="0"/>
          <wp:wrapNone/>
          <wp:docPr id="4"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90166"/>
      <w:docPartObj>
        <w:docPartGallery w:val="Page Numbers (Bottom of Page)"/>
        <w:docPartUnique/>
      </w:docPartObj>
    </w:sdtPr>
    <w:sdtEndPr>
      <w:rPr>
        <w:rFonts w:ascii="Arial" w:hAnsi="Arial" w:cs="Arial"/>
        <w:noProof/>
        <w:sz w:val="24"/>
        <w:szCs w:val="24"/>
      </w:rPr>
    </w:sdtEndPr>
    <w:sdtContent>
      <w:p w14:paraId="6F0B7B61" w14:textId="77777777" w:rsidR="000A4376" w:rsidRPr="0037633D" w:rsidRDefault="000A4376" w:rsidP="001B2588">
        <w:pPr>
          <w:pStyle w:val="Footer"/>
          <w:ind w:left="-1080"/>
          <w:rPr>
            <w:rFonts w:ascii="Arial" w:hAnsi="Arial" w:cs="Arial"/>
            <w:sz w:val="24"/>
            <w:szCs w:val="24"/>
          </w:rPr>
        </w:pPr>
        <w:r w:rsidRPr="0037633D">
          <w:rPr>
            <w:rFonts w:ascii="Arial" w:hAnsi="Arial" w:cs="Arial"/>
            <w:sz w:val="24"/>
            <w:szCs w:val="24"/>
          </w:rPr>
          <w:fldChar w:fldCharType="begin"/>
        </w:r>
        <w:r w:rsidRPr="0037633D">
          <w:rPr>
            <w:rFonts w:ascii="Arial" w:hAnsi="Arial" w:cs="Arial"/>
            <w:sz w:val="24"/>
            <w:szCs w:val="24"/>
          </w:rPr>
          <w:instrText xml:space="preserve"> PAGE   \* MERGEFORMAT </w:instrText>
        </w:r>
        <w:r w:rsidRPr="0037633D">
          <w:rPr>
            <w:rFonts w:ascii="Arial" w:hAnsi="Arial" w:cs="Arial"/>
            <w:sz w:val="24"/>
            <w:szCs w:val="24"/>
          </w:rPr>
          <w:fldChar w:fldCharType="separate"/>
        </w:r>
        <w:r w:rsidR="00B13EDA">
          <w:rPr>
            <w:rFonts w:ascii="Arial" w:hAnsi="Arial" w:cs="Arial"/>
            <w:noProof/>
            <w:sz w:val="24"/>
            <w:szCs w:val="24"/>
          </w:rPr>
          <w:t>5</w:t>
        </w:r>
        <w:r w:rsidRPr="0037633D">
          <w:rPr>
            <w:rFonts w:ascii="Arial" w:hAnsi="Arial" w:cs="Arial"/>
            <w:noProof/>
            <w:sz w:val="24"/>
            <w:szCs w:val="24"/>
          </w:rPr>
          <w:fldChar w:fldCharType="end"/>
        </w:r>
      </w:p>
    </w:sdtContent>
  </w:sdt>
  <w:p w14:paraId="268935BF" w14:textId="77777777" w:rsidR="000A4376" w:rsidRDefault="000A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A05C" w14:textId="77777777" w:rsidR="00C96C55" w:rsidRDefault="00C96C55" w:rsidP="00C04179">
      <w:pPr>
        <w:spacing w:after="0" w:line="240" w:lineRule="auto"/>
      </w:pPr>
      <w:r>
        <w:separator/>
      </w:r>
    </w:p>
  </w:footnote>
  <w:footnote w:type="continuationSeparator" w:id="0">
    <w:p w14:paraId="26E2D94B" w14:textId="77777777" w:rsidR="00C96C55" w:rsidRDefault="00C96C55" w:rsidP="00C04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37947" w14:textId="22DB6871" w:rsidR="00402756" w:rsidRDefault="00402756" w:rsidP="00402756">
    <w:pPr>
      <w:pStyle w:val="Header"/>
      <w:jc w:val="center"/>
    </w:pPr>
    <w:r>
      <w:t>OFFICIAL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1347" w14:textId="00E49B94" w:rsidR="000A4376" w:rsidRDefault="00322C3A" w:rsidP="00402756">
    <w:pPr>
      <w:pStyle w:val="Header"/>
      <w:jc w:val="center"/>
    </w:pPr>
    <w:r>
      <w:t>OFFICIAL</w:t>
    </w:r>
  </w:p>
  <w:p w14:paraId="13356529" w14:textId="77777777" w:rsidR="000A4376" w:rsidRDefault="000A4376">
    <w:pPr>
      <w:pStyle w:val="Header"/>
    </w:pPr>
  </w:p>
  <w:p w14:paraId="02768B9F" w14:textId="77777777" w:rsidR="000A4376" w:rsidRDefault="00C55DB5">
    <w:pPr>
      <w:pStyle w:val="Header"/>
    </w:pPr>
    <w:r>
      <w:rPr>
        <w:noProof/>
        <w:lang w:eastAsia="en-GB"/>
      </w:rPr>
      <w:drawing>
        <wp:anchor distT="0" distB="0" distL="114300" distR="114300" simplePos="0" relativeHeight="251660288" behindDoc="1" locked="1" layoutInCell="1" allowOverlap="1" wp14:anchorId="273ECB57" wp14:editId="2F0B7D82">
          <wp:simplePos x="0" y="0"/>
          <wp:positionH relativeFrom="page">
            <wp:posOffset>0</wp:posOffset>
          </wp:positionH>
          <wp:positionV relativeFrom="page">
            <wp:posOffset>2190750</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p>
  <w:p w14:paraId="18D70F4E" w14:textId="77777777" w:rsidR="000A4376" w:rsidRDefault="000A4376">
    <w:pPr>
      <w:pStyle w:val="Header"/>
    </w:pPr>
  </w:p>
  <w:p w14:paraId="0D72F430" w14:textId="77777777" w:rsidR="000A4376" w:rsidRDefault="000A4376">
    <w:pPr>
      <w:pStyle w:val="Header"/>
    </w:pPr>
  </w:p>
  <w:p w14:paraId="0E0E9F8C" w14:textId="77777777" w:rsidR="000A4376" w:rsidRDefault="000A4376">
    <w:pPr>
      <w:pStyle w:val="Header"/>
    </w:pPr>
  </w:p>
  <w:p w14:paraId="620B639F" w14:textId="77777777" w:rsidR="000A4376" w:rsidRDefault="00C55DB5">
    <w:pPr>
      <w:pStyle w:val="Header"/>
    </w:pPr>
    <w:r>
      <w:rPr>
        <w:noProof/>
        <w:lang w:eastAsia="en-GB"/>
      </w:rPr>
      <w:drawing>
        <wp:anchor distT="0" distB="0" distL="114300" distR="114300" simplePos="0" relativeHeight="251656192" behindDoc="1" locked="1" layoutInCell="1" allowOverlap="1" wp14:anchorId="66DAA0D7" wp14:editId="6C595648">
          <wp:simplePos x="0" y="0"/>
          <wp:positionH relativeFrom="page">
            <wp:posOffset>266700</wp:posOffset>
          </wp:positionH>
          <wp:positionV relativeFrom="page">
            <wp:posOffset>501015</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4667" w14:textId="77777777" w:rsidR="000A4376" w:rsidRDefault="000A4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A09D" w14:textId="77777777" w:rsidR="000A4376" w:rsidRPr="00FA6FED" w:rsidRDefault="000A4376" w:rsidP="00FA6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6F8C"/>
    <w:multiLevelType w:val="hybridMultilevel"/>
    <w:tmpl w:val="B3D0A36C"/>
    <w:lvl w:ilvl="0" w:tplc="0B52CDE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451B"/>
    <w:multiLevelType w:val="hybridMultilevel"/>
    <w:tmpl w:val="D55A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3657"/>
    <w:multiLevelType w:val="hybridMultilevel"/>
    <w:tmpl w:val="AF60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730B1"/>
    <w:multiLevelType w:val="hybridMultilevel"/>
    <w:tmpl w:val="80E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F2811"/>
    <w:multiLevelType w:val="hybridMultilevel"/>
    <w:tmpl w:val="CFD47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23B84"/>
    <w:multiLevelType w:val="hybridMultilevel"/>
    <w:tmpl w:val="729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1E43"/>
    <w:multiLevelType w:val="hybridMultilevel"/>
    <w:tmpl w:val="5964C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4E0790"/>
    <w:multiLevelType w:val="hybridMultilevel"/>
    <w:tmpl w:val="B89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C678C"/>
    <w:multiLevelType w:val="hybridMultilevel"/>
    <w:tmpl w:val="4198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16681"/>
    <w:multiLevelType w:val="hybridMultilevel"/>
    <w:tmpl w:val="467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4211"/>
    <w:multiLevelType w:val="hybridMultilevel"/>
    <w:tmpl w:val="AD3A1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30C3"/>
    <w:multiLevelType w:val="hybridMultilevel"/>
    <w:tmpl w:val="A600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A6CF7"/>
    <w:multiLevelType w:val="hybridMultilevel"/>
    <w:tmpl w:val="38C8B84C"/>
    <w:lvl w:ilvl="0" w:tplc="AF96C4D2">
      <w:start w:val="1"/>
      <w:numFmt w:val="bullet"/>
      <w:lvlText w:val="•"/>
      <w:lvlJc w:val="left"/>
      <w:pPr>
        <w:tabs>
          <w:tab w:val="num" w:pos="720"/>
        </w:tabs>
        <w:ind w:left="720" w:hanging="360"/>
      </w:pPr>
      <w:rPr>
        <w:rFonts w:ascii="Arial" w:hAnsi="Arial" w:hint="default"/>
      </w:rPr>
    </w:lvl>
    <w:lvl w:ilvl="1" w:tplc="5176AC28">
      <w:start w:val="1"/>
      <w:numFmt w:val="bullet"/>
      <w:lvlText w:val="•"/>
      <w:lvlJc w:val="left"/>
      <w:pPr>
        <w:tabs>
          <w:tab w:val="num" w:pos="1440"/>
        </w:tabs>
        <w:ind w:left="1440" w:hanging="360"/>
      </w:pPr>
      <w:rPr>
        <w:rFonts w:ascii="Arial" w:hAnsi="Arial" w:hint="default"/>
      </w:rPr>
    </w:lvl>
    <w:lvl w:ilvl="2" w:tplc="2272D858" w:tentative="1">
      <w:start w:val="1"/>
      <w:numFmt w:val="bullet"/>
      <w:lvlText w:val="•"/>
      <w:lvlJc w:val="left"/>
      <w:pPr>
        <w:tabs>
          <w:tab w:val="num" w:pos="2160"/>
        </w:tabs>
        <w:ind w:left="2160" w:hanging="360"/>
      </w:pPr>
      <w:rPr>
        <w:rFonts w:ascii="Arial" w:hAnsi="Arial" w:hint="default"/>
      </w:rPr>
    </w:lvl>
    <w:lvl w:ilvl="3" w:tplc="4164E6AC" w:tentative="1">
      <w:start w:val="1"/>
      <w:numFmt w:val="bullet"/>
      <w:lvlText w:val="•"/>
      <w:lvlJc w:val="left"/>
      <w:pPr>
        <w:tabs>
          <w:tab w:val="num" w:pos="2880"/>
        </w:tabs>
        <w:ind w:left="2880" w:hanging="360"/>
      </w:pPr>
      <w:rPr>
        <w:rFonts w:ascii="Arial" w:hAnsi="Arial" w:hint="default"/>
      </w:rPr>
    </w:lvl>
    <w:lvl w:ilvl="4" w:tplc="F4F28832" w:tentative="1">
      <w:start w:val="1"/>
      <w:numFmt w:val="bullet"/>
      <w:lvlText w:val="•"/>
      <w:lvlJc w:val="left"/>
      <w:pPr>
        <w:tabs>
          <w:tab w:val="num" w:pos="3600"/>
        </w:tabs>
        <w:ind w:left="3600" w:hanging="360"/>
      </w:pPr>
      <w:rPr>
        <w:rFonts w:ascii="Arial" w:hAnsi="Arial" w:hint="default"/>
      </w:rPr>
    </w:lvl>
    <w:lvl w:ilvl="5" w:tplc="747412B2" w:tentative="1">
      <w:start w:val="1"/>
      <w:numFmt w:val="bullet"/>
      <w:lvlText w:val="•"/>
      <w:lvlJc w:val="left"/>
      <w:pPr>
        <w:tabs>
          <w:tab w:val="num" w:pos="4320"/>
        </w:tabs>
        <w:ind w:left="4320" w:hanging="360"/>
      </w:pPr>
      <w:rPr>
        <w:rFonts w:ascii="Arial" w:hAnsi="Arial" w:hint="default"/>
      </w:rPr>
    </w:lvl>
    <w:lvl w:ilvl="6" w:tplc="9D509E7A" w:tentative="1">
      <w:start w:val="1"/>
      <w:numFmt w:val="bullet"/>
      <w:lvlText w:val="•"/>
      <w:lvlJc w:val="left"/>
      <w:pPr>
        <w:tabs>
          <w:tab w:val="num" w:pos="5040"/>
        </w:tabs>
        <w:ind w:left="5040" w:hanging="360"/>
      </w:pPr>
      <w:rPr>
        <w:rFonts w:ascii="Arial" w:hAnsi="Arial" w:hint="default"/>
      </w:rPr>
    </w:lvl>
    <w:lvl w:ilvl="7" w:tplc="230CEBA0" w:tentative="1">
      <w:start w:val="1"/>
      <w:numFmt w:val="bullet"/>
      <w:lvlText w:val="•"/>
      <w:lvlJc w:val="left"/>
      <w:pPr>
        <w:tabs>
          <w:tab w:val="num" w:pos="5760"/>
        </w:tabs>
        <w:ind w:left="5760" w:hanging="360"/>
      </w:pPr>
      <w:rPr>
        <w:rFonts w:ascii="Arial" w:hAnsi="Arial" w:hint="default"/>
      </w:rPr>
    </w:lvl>
    <w:lvl w:ilvl="8" w:tplc="FB1299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E10D3D"/>
    <w:multiLevelType w:val="hybridMultilevel"/>
    <w:tmpl w:val="32D8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A01F4"/>
    <w:multiLevelType w:val="hybridMultilevel"/>
    <w:tmpl w:val="86C8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B44FB"/>
    <w:multiLevelType w:val="hybridMultilevel"/>
    <w:tmpl w:val="0E78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E55DD"/>
    <w:multiLevelType w:val="hybridMultilevel"/>
    <w:tmpl w:val="52923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0214B"/>
    <w:multiLevelType w:val="hybridMultilevel"/>
    <w:tmpl w:val="E73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85610F"/>
    <w:multiLevelType w:val="hybridMultilevel"/>
    <w:tmpl w:val="5EA41D00"/>
    <w:lvl w:ilvl="0" w:tplc="CB46D9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F2890"/>
    <w:multiLevelType w:val="hybridMultilevel"/>
    <w:tmpl w:val="AC745B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7764F9"/>
    <w:multiLevelType w:val="hybridMultilevel"/>
    <w:tmpl w:val="E3D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C376C"/>
    <w:multiLevelType w:val="hybridMultilevel"/>
    <w:tmpl w:val="C6EE4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7A2978"/>
    <w:multiLevelType w:val="hybridMultilevel"/>
    <w:tmpl w:val="D280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D1656"/>
    <w:multiLevelType w:val="hybridMultilevel"/>
    <w:tmpl w:val="522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2428A"/>
    <w:multiLevelType w:val="hybridMultilevel"/>
    <w:tmpl w:val="B876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61B4E"/>
    <w:multiLevelType w:val="hybridMultilevel"/>
    <w:tmpl w:val="7E0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516B4"/>
    <w:multiLevelType w:val="hybridMultilevel"/>
    <w:tmpl w:val="4D2A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66E2B"/>
    <w:multiLevelType w:val="hybridMultilevel"/>
    <w:tmpl w:val="9418CF82"/>
    <w:lvl w:ilvl="0" w:tplc="B3F6560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055F7"/>
    <w:multiLevelType w:val="hybridMultilevel"/>
    <w:tmpl w:val="873EB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B426F5"/>
    <w:multiLevelType w:val="hybridMultilevel"/>
    <w:tmpl w:val="922403C2"/>
    <w:lvl w:ilvl="0" w:tplc="8774D84A">
      <w:start w:val="1"/>
      <w:numFmt w:val="lowerLetter"/>
      <w:lvlText w:val="%1)"/>
      <w:lvlJc w:val="left"/>
      <w:pPr>
        <w:ind w:left="450" w:hanging="360"/>
      </w:pPr>
      <w:rPr>
        <w:rFonts w:ascii="Arial" w:eastAsiaTheme="minorHAnsi" w:hAnsi="Arial"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4624B"/>
    <w:multiLevelType w:val="hybridMultilevel"/>
    <w:tmpl w:val="3D88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3"/>
  </w:num>
  <w:num w:numId="4">
    <w:abstractNumId w:val="10"/>
  </w:num>
  <w:num w:numId="5">
    <w:abstractNumId w:val="22"/>
  </w:num>
  <w:num w:numId="6">
    <w:abstractNumId w:val="8"/>
  </w:num>
  <w:num w:numId="7">
    <w:abstractNumId w:val="26"/>
  </w:num>
  <w:num w:numId="8">
    <w:abstractNumId w:val="0"/>
  </w:num>
  <w:num w:numId="9">
    <w:abstractNumId w:val="20"/>
  </w:num>
  <w:num w:numId="10">
    <w:abstractNumId w:val="25"/>
  </w:num>
  <w:num w:numId="11">
    <w:abstractNumId w:val="24"/>
  </w:num>
  <w:num w:numId="12">
    <w:abstractNumId w:val="1"/>
  </w:num>
  <w:num w:numId="13">
    <w:abstractNumId w:val="23"/>
  </w:num>
  <w:num w:numId="14">
    <w:abstractNumId w:val="29"/>
  </w:num>
  <w:num w:numId="15">
    <w:abstractNumId w:val="13"/>
  </w:num>
  <w:num w:numId="16">
    <w:abstractNumId w:val="9"/>
  </w:num>
  <w:num w:numId="17">
    <w:abstractNumId w:val="2"/>
  </w:num>
  <w:num w:numId="18">
    <w:abstractNumId w:val="11"/>
  </w:num>
  <w:num w:numId="19">
    <w:abstractNumId w:val="30"/>
  </w:num>
  <w:num w:numId="20">
    <w:abstractNumId w:val="17"/>
  </w:num>
  <w:num w:numId="21">
    <w:abstractNumId w:val="4"/>
  </w:num>
  <w:num w:numId="22">
    <w:abstractNumId w:val="14"/>
  </w:num>
  <w:num w:numId="23">
    <w:abstractNumId w:val="28"/>
  </w:num>
  <w:num w:numId="24">
    <w:abstractNumId w:val="21"/>
  </w:num>
  <w:num w:numId="25">
    <w:abstractNumId w:val="5"/>
  </w:num>
  <w:num w:numId="26">
    <w:abstractNumId w:val="6"/>
  </w:num>
  <w:num w:numId="27">
    <w:abstractNumId w:val="16"/>
  </w:num>
  <w:num w:numId="28">
    <w:abstractNumId w:val="7"/>
  </w:num>
  <w:num w:numId="29">
    <w:abstractNumId w:val="18"/>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95"/>
    <w:rsid w:val="000178A2"/>
    <w:rsid w:val="00021DEE"/>
    <w:rsid w:val="00037646"/>
    <w:rsid w:val="0005150C"/>
    <w:rsid w:val="000A2A5B"/>
    <w:rsid w:val="000A4376"/>
    <w:rsid w:val="000B43B2"/>
    <w:rsid w:val="000D7575"/>
    <w:rsid w:val="000E1D53"/>
    <w:rsid w:val="000E1DAD"/>
    <w:rsid w:val="0011206A"/>
    <w:rsid w:val="0011611F"/>
    <w:rsid w:val="00120F17"/>
    <w:rsid w:val="00131008"/>
    <w:rsid w:val="00150BCB"/>
    <w:rsid w:val="001573B9"/>
    <w:rsid w:val="00160189"/>
    <w:rsid w:val="00164916"/>
    <w:rsid w:val="001703F8"/>
    <w:rsid w:val="00182572"/>
    <w:rsid w:val="001A4795"/>
    <w:rsid w:val="001B1510"/>
    <w:rsid w:val="001B1BD2"/>
    <w:rsid w:val="001B2588"/>
    <w:rsid w:val="001B3D5D"/>
    <w:rsid w:val="001D6F16"/>
    <w:rsid w:val="001F416C"/>
    <w:rsid w:val="00224CCF"/>
    <w:rsid w:val="002304EE"/>
    <w:rsid w:val="0023252F"/>
    <w:rsid w:val="00251B14"/>
    <w:rsid w:val="00256B6F"/>
    <w:rsid w:val="00265523"/>
    <w:rsid w:val="00274DEE"/>
    <w:rsid w:val="00283D24"/>
    <w:rsid w:val="00285BE2"/>
    <w:rsid w:val="002964CB"/>
    <w:rsid w:val="002D668B"/>
    <w:rsid w:val="002E687C"/>
    <w:rsid w:val="002F46DC"/>
    <w:rsid w:val="003051C0"/>
    <w:rsid w:val="00322C3A"/>
    <w:rsid w:val="00375ED9"/>
    <w:rsid w:val="0037633D"/>
    <w:rsid w:val="00382982"/>
    <w:rsid w:val="0038565B"/>
    <w:rsid w:val="0039091C"/>
    <w:rsid w:val="00392ADC"/>
    <w:rsid w:val="003C564D"/>
    <w:rsid w:val="003D6A1F"/>
    <w:rsid w:val="00402756"/>
    <w:rsid w:val="0040380E"/>
    <w:rsid w:val="00403BCF"/>
    <w:rsid w:val="004471C7"/>
    <w:rsid w:val="004B3C10"/>
    <w:rsid w:val="004C7397"/>
    <w:rsid w:val="004E6799"/>
    <w:rsid w:val="004F0732"/>
    <w:rsid w:val="004F30E2"/>
    <w:rsid w:val="004F5C9C"/>
    <w:rsid w:val="0050621B"/>
    <w:rsid w:val="00525335"/>
    <w:rsid w:val="005431E4"/>
    <w:rsid w:val="0055499C"/>
    <w:rsid w:val="005A329A"/>
    <w:rsid w:val="005B350F"/>
    <w:rsid w:val="005F65E6"/>
    <w:rsid w:val="00635329"/>
    <w:rsid w:val="00653E1B"/>
    <w:rsid w:val="00667002"/>
    <w:rsid w:val="006C452D"/>
    <w:rsid w:val="006C59D7"/>
    <w:rsid w:val="006E3F42"/>
    <w:rsid w:val="006F2784"/>
    <w:rsid w:val="006F2AD3"/>
    <w:rsid w:val="00700009"/>
    <w:rsid w:val="00734393"/>
    <w:rsid w:val="007479E9"/>
    <w:rsid w:val="00780280"/>
    <w:rsid w:val="007933E3"/>
    <w:rsid w:val="007D4600"/>
    <w:rsid w:val="007D75A2"/>
    <w:rsid w:val="007F77A6"/>
    <w:rsid w:val="0081702E"/>
    <w:rsid w:val="00831830"/>
    <w:rsid w:val="008625B8"/>
    <w:rsid w:val="00863B05"/>
    <w:rsid w:val="00871B45"/>
    <w:rsid w:val="00876A41"/>
    <w:rsid w:val="00880E0A"/>
    <w:rsid w:val="008944AF"/>
    <w:rsid w:val="008B6AE7"/>
    <w:rsid w:val="008D1D87"/>
    <w:rsid w:val="008D464F"/>
    <w:rsid w:val="008E20C6"/>
    <w:rsid w:val="008E3972"/>
    <w:rsid w:val="009050F4"/>
    <w:rsid w:val="00913785"/>
    <w:rsid w:val="009258F4"/>
    <w:rsid w:val="00932543"/>
    <w:rsid w:val="0097594D"/>
    <w:rsid w:val="00985BBA"/>
    <w:rsid w:val="00996BDE"/>
    <w:rsid w:val="009A0997"/>
    <w:rsid w:val="009A3682"/>
    <w:rsid w:val="009B7F9C"/>
    <w:rsid w:val="009C6E59"/>
    <w:rsid w:val="009F57B4"/>
    <w:rsid w:val="00A04B47"/>
    <w:rsid w:val="00A24534"/>
    <w:rsid w:val="00A4279E"/>
    <w:rsid w:val="00A51B1F"/>
    <w:rsid w:val="00A5554E"/>
    <w:rsid w:val="00A57FA8"/>
    <w:rsid w:val="00A74AB4"/>
    <w:rsid w:val="00AA16E8"/>
    <w:rsid w:val="00AA7D3C"/>
    <w:rsid w:val="00AD7F08"/>
    <w:rsid w:val="00AD7FCD"/>
    <w:rsid w:val="00AF3D7F"/>
    <w:rsid w:val="00B05426"/>
    <w:rsid w:val="00B104F6"/>
    <w:rsid w:val="00B13EDA"/>
    <w:rsid w:val="00B25862"/>
    <w:rsid w:val="00B51380"/>
    <w:rsid w:val="00B55D3A"/>
    <w:rsid w:val="00B77DD2"/>
    <w:rsid w:val="00B82C44"/>
    <w:rsid w:val="00B8757F"/>
    <w:rsid w:val="00B95AB9"/>
    <w:rsid w:val="00BB42E3"/>
    <w:rsid w:val="00BE3FC1"/>
    <w:rsid w:val="00BF623E"/>
    <w:rsid w:val="00C04179"/>
    <w:rsid w:val="00C3607C"/>
    <w:rsid w:val="00C55DB5"/>
    <w:rsid w:val="00C96C55"/>
    <w:rsid w:val="00CA1918"/>
    <w:rsid w:val="00CB38CE"/>
    <w:rsid w:val="00CB4970"/>
    <w:rsid w:val="00CB71DD"/>
    <w:rsid w:val="00CC44DE"/>
    <w:rsid w:val="00CD2219"/>
    <w:rsid w:val="00CF480F"/>
    <w:rsid w:val="00CF7578"/>
    <w:rsid w:val="00D02B7C"/>
    <w:rsid w:val="00D03F01"/>
    <w:rsid w:val="00D1138B"/>
    <w:rsid w:val="00D2237C"/>
    <w:rsid w:val="00D23033"/>
    <w:rsid w:val="00D36D18"/>
    <w:rsid w:val="00D535FB"/>
    <w:rsid w:val="00D864F6"/>
    <w:rsid w:val="00D95A6A"/>
    <w:rsid w:val="00DA2ADC"/>
    <w:rsid w:val="00DB3C10"/>
    <w:rsid w:val="00DB4798"/>
    <w:rsid w:val="00DB775B"/>
    <w:rsid w:val="00DE3A75"/>
    <w:rsid w:val="00DF735D"/>
    <w:rsid w:val="00E04B4E"/>
    <w:rsid w:val="00E33095"/>
    <w:rsid w:val="00E41997"/>
    <w:rsid w:val="00E63AAE"/>
    <w:rsid w:val="00E647E8"/>
    <w:rsid w:val="00E80509"/>
    <w:rsid w:val="00E82686"/>
    <w:rsid w:val="00E92D63"/>
    <w:rsid w:val="00EB73E8"/>
    <w:rsid w:val="00EC7C39"/>
    <w:rsid w:val="00EE3265"/>
    <w:rsid w:val="00EE46C1"/>
    <w:rsid w:val="00EF0E46"/>
    <w:rsid w:val="00EF4C72"/>
    <w:rsid w:val="00F001B8"/>
    <w:rsid w:val="00F1106C"/>
    <w:rsid w:val="00F513FB"/>
    <w:rsid w:val="00F572FA"/>
    <w:rsid w:val="00F60AF3"/>
    <w:rsid w:val="00FA6FED"/>
    <w:rsid w:val="00FD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175070"/>
  <w15:docId w15:val="{BFDAAD5B-72C7-48A2-A7E6-1BDF6344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1B"/>
    <w:pPr>
      <w:spacing w:after="0" w:line="240" w:lineRule="auto"/>
    </w:pPr>
  </w:style>
  <w:style w:type="paragraph" w:styleId="Header">
    <w:name w:val="header"/>
    <w:basedOn w:val="Normal"/>
    <w:link w:val="HeaderChar"/>
    <w:uiPriority w:val="99"/>
    <w:unhideWhenUsed/>
    <w:rsid w:val="00C0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79"/>
  </w:style>
  <w:style w:type="paragraph" w:styleId="Footer">
    <w:name w:val="footer"/>
    <w:basedOn w:val="Normal"/>
    <w:link w:val="FooterChar"/>
    <w:uiPriority w:val="99"/>
    <w:unhideWhenUsed/>
    <w:rsid w:val="00C0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79"/>
  </w:style>
  <w:style w:type="paragraph" w:styleId="BalloonText">
    <w:name w:val="Balloon Text"/>
    <w:basedOn w:val="Normal"/>
    <w:link w:val="BalloonTextChar"/>
    <w:uiPriority w:val="99"/>
    <w:semiHidden/>
    <w:unhideWhenUsed/>
    <w:rsid w:val="00C0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79"/>
    <w:rPr>
      <w:rFonts w:ascii="Tahoma" w:hAnsi="Tahoma" w:cs="Tahoma"/>
      <w:sz w:val="16"/>
      <w:szCs w:val="16"/>
    </w:rPr>
  </w:style>
  <w:style w:type="table" w:styleId="TableGrid">
    <w:name w:val="Table Grid"/>
    <w:basedOn w:val="TableNormal"/>
    <w:uiPriority w:val="39"/>
    <w:rsid w:val="004F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008"/>
    <w:pPr>
      <w:ind w:left="720"/>
      <w:contextualSpacing/>
    </w:pPr>
  </w:style>
  <w:style w:type="paragraph" w:styleId="NormalWeb">
    <w:name w:val="Normal (Web)"/>
    <w:basedOn w:val="Normal"/>
    <w:uiPriority w:val="99"/>
    <w:semiHidden/>
    <w:unhideWhenUsed/>
    <w:rsid w:val="00C55DB5"/>
    <w:pPr>
      <w:spacing w:after="240" w:line="264" w:lineRule="auto"/>
    </w:pPr>
    <w:rPr>
      <w:rFonts w:ascii="Times New Roman" w:eastAsia="Calibri" w:hAnsi="Times New Roman" w:cs="Times New Roman"/>
      <w:sz w:val="24"/>
      <w:szCs w:val="24"/>
      <w:lang w:bidi="he-IL"/>
    </w:rPr>
  </w:style>
  <w:style w:type="character" w:styleId="Hyperlink">
    <w:name w:val="Hyperlink"/>
    <w:basedOn w:val="DefaultParagraphFont"/>
    <w:uiPriority w:val="99"/>
    <w:unhideWhenUsed/>
    <w:rsid w:val="00C55DB5"/>
    <w:rPr>
      <w:color w:val="0000FF" w:themeColor="hyperlink"/>
      <w:u w:val="single"/>
    </w:rPr>
  </w:style>
  <w:style w:type="character" w:styleId="CommentReference">
    <w:name w:val="annotation reference"/>
    <w:basedOn w:val="DefaultParagraphFont"/>
    <w:uiPriority w:val="99"/>
    <w:semiHidden/>
    <w:unhideWhenUsed/>
    <w:rsid w:val="00A4279E"/>
    <w:rPr>
      <w:sz w:val="16"/>
      <w:szCs w:val="16"/>
    </w:rPr>
  </w:style>
  <w:style w:type="paragraph" w:styleId="CommentText">
    <w:name w:val="annotation text"/>
    <w:basedOn w:val="Normal"/>
    <w:link w:val="CommentTextChar"/>
    <w:uiPriority w:val="99"/>
    <w:semiHidden/>
    <w:unhideWhenUsed/>
    <w:rsid w:val="00A4279E"/>
    <w:pPr>
      <w:spacing w:line="240" w:lineRule="auto"/>
    </w:pPr>
    <w:rPr>
      <w:sz w:val="20"/>
      <w:szCs w:val="20"/>
    </w:rPr>
  </w:style>
  <w:style w:type="character" w:customStyle="1" w:styleId="CommentTextChar">
    <w:name w:val="Comment Text Char"/>
    <w:basedOn w:val="DefaultParagraphFont"/>
    <w:link w:val="CommentText"/>
    <w:uiPriority w:val="99"/>
    <w:semiHidden/>
    <w:rsid w:val="00A427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535">
      <w:bodyDiv w:val="1"/>
      <w:marLeft w:val="0"/>
      <w:marRight w:val="0"/>
      <w:marTop w:val="0"/>
      <w:marBottom w:val="0"/>
      <w:divBdr>
        <w:top w:val="none" w:sz="0" w:space="0" w:color="auto"/>
        <w:left w:val="none" w:sz="0" w:space="0" w:color="auto"/>
        <w:bottom w:val="none" w:sz="0" w:space="0" w:color="auto"/>
        <w:right w:val="none" w:sz="0" w:space="0" w:color="auto"/>
      </w:divBdr>
    </w:div>
    <w:div w:id="1123697532">
      <w:bodyDiv w:val="1"/>
      <w:marLeft w:val="0"/>
      <w:marRight w:val="0"/>
      <w:marTop w:val="0"/>
      <w:marBottom w:val="0"/>
      <w:divBdr>
        <w:top w:val="none" w:sz="0" w:space="0" w:color="auto"/>
        <w:left w:val="none" w:sz="0" w:space="0" w:color="auto"/>
        <w:bottom w:val="none" w:sz="0" w:space="0" w:color="auto"/>
        <w:right w:val="none" w:sz="0" w:space="0" w:color="auto"/>
      </w:divBdr>
    </w:div>
    <w:div w:id="1134635818">
      <w:bodyDiv w:val="1"/>
      <w:marLeft w:val="0"/>
      <w:marRight w:val="0"/>
      <w:marTop w:val="0"/>
      <w:marBottom w:val="0"/>
      <w:divBdr>
        <w:top w:val="none" w:sz="0" w:space="0" w:color="auto"/>
        <w:left w:val="none" w:sz="0" w:space="0" w:color="auto"/>
        <w:bottom w:val="none" w:sz="0" w:space="0" w:color="auto"/>
        <w:right w:val="none" w:sz="0" w:space="0" w:color="auto"/>
      </w:divBdr>
    </w:div>
    <w:div w:id="1266420811">
      <w:bodyDiv w:val="1"/>
      <w:marLeft w:val="0"/>
      <w:marRight w:val="0"/>
      <w:marTop w:val="0"/>
      <w:marBottom w:val="0"/>
      <w:divBdr>
        <w:top w:val="none" w:sz="0" w:space="0" w:color="auto"/>
        <w:left w:val="none" w:sz="0" w:space="0" w:color="auto"/>
        <w:bottom w:val="none" w:sz="0" w:space="0" w:color="auto"/>
        <w:right w:val="none" w:sz="0" w:space="0" w:color="auto"/>
      </w:divBdr>
      <w:divsChild>
        <w:div w:id="1442409719">
          <w:marLeft w:val="1166"/>
          <w:marRight w:val="0"/>
          <w:marTop w:val="0"/>
          <w:marBottom w:val="0"/>
          <w:divBdr>
            <w:top w:val="none" w:sz="0" w:space="0" w:color="auto"/>
            <w:left w:val="none" w:sz="0" w:space="0" w:color="auto"/>
            <w:bottom w:val="none" w:sz="0" w:space="0" w:color="auto"/>
            <w:right w:val="none" w:sz="0" w:space="0" w:color="auto"/>
          </w:divBdr>
        </w:div>
        <w:div w:id="2095852187">
          <w:marLeft w:val="1166"/>
          <w:marRight w:val="0"/>
          <w:marTop w:val="0"/>
          <w:marBottom w:val="0"/>
          <w:divBdr>
            <w:top w:val="none" w:sz="0" w:space="0" w:color="auto"/>
            <w:left w:val="none" w:sz="0" w:space="0" w:color="auto"/>
            <w:bottom w:val="none" w:sz="0" w:space="0" w:color="auto"/>
            <w:right w:val="none" w:sz="0" w:space="0" w:color="auto"/>
          </w:divBdr>
        </w:div>
        <w:div w:id="1998068303">
          <w:marLeft w:val="1166"/>
          <w:marRight w:val="0"/>
          <w:marTop w:val="0"/>
          <w:marBottom w:val="0"/>
          <w:divBdr>
            <w:top w:val="none" w:sz="0" w:space="0" w:color="auto"/>
            <w:left w:val="none" w:sz="0" w:space="0" w:color="auto"/>
            <w:bottom w:val="none" w:sz="0" w:space="0" w:color="auto"/>
            <w:right w:val="none" w:sz="0" w:space="0" w:color="auto"/>
          </w:divBdr>
        </w:div>
      </w:divsChild>
    </w:div>
    <w:div w:id="1732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diagramData" Target="diagrams/data1.xml"/><Relationship Id="rId26"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Microsoft_Word_Document2.docx"/><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diagramQuickStyle" Target="diagrams/quickStyle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Word_Document3.docx"/><Relationship Id="rId5" Type="http://schemas.openxmlformats.org/officeDocument/2006/relationships/webSettings" Target="webSettings.xml"/><Relationship Id="rId15" Type="http://schemas.openxmlformats.org/officeDocument/2006/relationships/hyperlink" Target="http://hmppsintranet.org.uk/except/" TargetMode="External"/><Relationship Id="rId23" Type="http://schemas.openxmlformats.org/officeDocument/2006/relationships/image" Target="media/image7.emf"/><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microsoft.com/office/2007/relationships/diagramDrawing" Target="diagrams/drawing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9C2C2-E646-4AD1-8EC4-90353EC4DB78}" type="doc">
      <dgm:prSet loTypeId="urn:microsoft.com/office/officeart/2005/8/layout/process1" loCatId="process" qsTypeId="urn:microsoft.com/office/officeart/2005/8/quickstyle/simple1" qsCatId="simple" csTypeId="urn:microsoft.com/office/officeart/2005/8/colors/accent1_2" csCatId="accent1" phldr="1"/>
      <dgm:spPr/>
    </dgm:pt>
    <dgm:pt modelId="{CC7A79B8-339A-4999-B4B2-1C701C6E1C33}">
      <dgm:prSet phldrT="[Text]"/>
      <dgm:spPr>
        <a:solidFill>
          <a:schemeClr val="accent4">
            <a:lumMod val="60000"/>
            <a:lumOff val="40000"/>
          </a:schemeClr>
        </a:solidFill>
      </dgm:spPr>
      <dgm:t>
        <a:bodyPr/>
        <a:lstStyle/>
        <a:p>
          <a:r>
            <a:rPr lang="en-GB" b="1"/>
            <a:t>Exceptional Delivery Model (EDM)</a:t>
          </a:r>
        </a:p>
        <a:p>
          <a:r>
            <a:rPr lang="en-GB"/>
            <a:t>Sets expectations and Red Lines for regime elements</a:t>
          </a:r>
        </a:p>
      </dgm:t>
    </dgm:pt>
    <dgm:pt modelId="{D5A26686-386F-42C5-8829-8E6068C01CB0}" type="parTrans" cxnId="{9132851A-F754-4379-A49A-F2F5A8C3F13C}">
      <dgm:prSet/>
      <dgm:spPr/>
      <dgm:t>
        <a:bodyPr/>
        <a:lstStyle/>
        <a:p>
          <a:endParaRPr lang="en-GB"/>
        </a:p>
      </dgm:t>
    </dgm:pt>
    <dgm:pt modelId="{57BC5987-BE69-476A-9DE6-3B1136AC6AF5}" type="sibTrans" cxnId="{9132851A-F754-4379-A49A-F2F5A8C3F13C}">
      <dgm:prSet/>
      <dgm:spPr/>
      <dgm:t>
        <a:bodyPr/>
        <a:lstStyle/>
        <a:p>
          <a:endParaRPr lang="en-GB"/>
        </a:p>
      </dgm:t>
    </dgm:pt>
    <dgm:pt modelId="{26FE8B94-7AE9-4530-BE21-D21BC2C6CE79}">
      <dgm:prSet phldrT="[Text]"/>
      <dgm:spPr>
        <a:solidFill>
          <a:srgbClr val="00B0F0"/>
        </a:solidFill>
      </dgm:spPr>
      <dgm:t>
        <a:bodyPr/>
        <a:lstStyle/>
        <a:p>
          <a:r>
            <a:rPr lang="en-GB" b="1"/>
            <a:t>Risk Assessment</a:t>
          </a:r>
        </a:p>
        <a:p>
          <a:r>
            <a:rPr lang="en-GB"/>
            <a:t>Identifies risks posed when delivering regime elements</a:t>
          </a:r>
        </a:p>
      </dgm:t>
    </dgm:pt>
    <dgm:pt modelId="{EB52654E-04B4-44F3-A24C-5C8811C4767D}" type="parTrans" cxnId="{AFA5100A-98AF-4103-88BE-2BA603FE02DC}">
      <dgm:prSet/>
      <dgm:spPr/>
      <dgm:t>
        <a:bodyPr/>
        <a:lstStyle/>
        <a:p>
          <a:endParaRPr lang="en-GB"/>
        </a:p>
      </dgm:t>
    </dgm:pt>
    <dgm:pt modelId="{41CA3491-396B-4384-A478-ED1695C457A7}" type="sibTrans" cxnId="{AFA5100A-98AF-4103-88BE-2BA603FE02DC}">
      <dgm:prSet/>
      <dgm:spPr/>
      <dgm:t>
        <a:bodyPr/>
        <a:lstStyle/>
        <a:p>
          <a:endParaRPr lang="en-GB"/>
        </a:p>
      </dgm:t>
    </dgm:pt>
    <dgm:pt modelId="{28B20208-13E2-4C1E-A215-C02C7EFFF023}">
      <dgm:prSet phldrT="[Text]"/>
      <dgm:spPr>
        <a:solidFill>
          <a:srgbClr val="7030A0"/>
        </a:solidFill>
      </dgm:spPr>
      <dgm:t>
        <a:bodyPr/>
        <a:lstStyle/>
        <a:p>
          <a:r>
            <a:rPr lang="en-GB" b="1"/>
            <a:t>Operating Procedures</a:t>
          </a:r>
        </a:p>
        <a:p>
          <a:r>
            <a:rPr lang="en-GB"/>
            <a:t>Mitigates the risks posed in order to deliver expectations safely</a:t>
          </a:r>
        </a:p>
      </dgm:t>
    </dgm:pt>
    <dgm:pt modelId="{A54EBF76-6764-4752-AD43-B6440425443C}" type="parTrans" cxnId="{B751254A-E56B-4ACF-98A1-E38A2568C322}">
      <dgm:prSet/>
      <dgm:spPr/>
      <dgm:t>
        <a:bodyPr/>
        <a:lstStyle/>
        <a:p>
          <a:endParaRPr lang="en-GB"/>
        </a:p>
      </dgm:t>
    </dgm:pt>
    <dgm:pt modelId="{33458045-89CD-436D-8D0C-C79747CDF2B7}" type="sibTrans" cxnId="{B751254A-E56B-4ACF-98A1-E38A2568C322}">
      <dgm:prSet/>
      <dgm:spPr/>
      <dgm:t>
        <a:bodyPr/>
        <a:lstStyle/>
        <a:p>
          <a:endParaRPr lang="en-GB"/>
        </a:p>
      </dgm:t>
    </dgm:pt>
    <dgm:pt modelId="{DB80DF2B-AB62-4FA0-8400-7A1FAA68EE1F}" type="pres">
      <dgm:prSet presAssocID="{EF49C2C2-E646-4AD1-8EC4-90353EC4DB78}" presName="Name0" presStyleCnt="0">
        <dgm:presLayoutVars>
          <dgm:dir/>
          <dgm:resizeHandles val="exact"/>
        </dgm:presLayoutVars>
      </dgm:prSet>
      <dgm:spPr/>
    </dgm:pt>
    <dgm:pt modelId="{8D5B3598-C23E-4137-B3C1-15A79E32725C}" type="pres">
      <dgm:prSet presAssocID="{CC7A79B8-339A-4999-B4B2-1C701C6E1C33}" presName="node" presStyleLbl="node1" presStyleIdx="0" presStyleCnt="3" custScaleX="252820">
        <dgm:presLayoutVars>
          <dgm:bulletEnabled val="1"/>
        </dgm:presLayoutVars>
      </dgm:prSet>
      <dgm:spPr/>
      <dgm:t>
        <a:bodyPr/>
        <a:lstStyle/>
        <a:p>
          <a:endParaRPr lang="en-GB"/>
        </a:p>
      </dgm:t>
    </dgm:pt>
    <dgm:pt modelId="{3E6363B0-C6EE-4739-A3F0-9A98BA7C987B}" type="pres">
      <dgm:prSet presAssocID="{57BC5987-BE69-476A-9DE6-3B1136AC6AF5}" presName="sibTrans" presStyleLbl="sibTrans2D1" presStyleIdx="0" presStyleCnt="2"/>
      <dgm:spPr/>
      <dgm:t>
        <a:bodyPr/>
        <a:lstStyle/>
        <a:p>
          <a:endParaRPr lang="en-GB"/>
        </a:p>
      </dgm:t>
    </dgm:pt>
    <dgm:pt modelId="{3DC40938-398F-4421-A7F4-69FE1676451C}" type="pres">
      <dgm:prSet presAssocID="{57BC5987-BE69-476A-9DE6-3B1136AC6AF5}" presName="connectorText" presStyleLbl="sibTrans2D1" presStyleIdx="0" presStyleCnt="2"/>
      <dgm:spPr/>
      <dgm:t>
        <a:bodyPr/>
        <a:lstStyle/>
        <a:p>
          <a:endParaRPr lang="en-GB"/>
        </a:p>
      </dgm:t>
    </dgm:pt>
    <dgm:pt modelId="{0AE57F2C-13D0-4C8E-A509-DDE0A62F281C}" type="pres">
      <dgm:prSet presAssocID="{26FE8B94-7AE9-4530-BE21-D21BC2C6CE79}" presName="node" presStyleLbl="node1" presStyleIdx="1" presStyleCnt="3" custScaleX="252820">
        <dgm:presLayoutVars>
          <dgm:bulletEnabled val="1"/>
        </dgm:presLayoutVars>
      </dgm:prSet>
      <dgm:spPr/>
      <dgm:t>
        <a:bodyPr/>
        <a:lstStyle/>
        <a:p>
          <a:endParaRPr lang="en-GB"/>
        </a:p>
      </dgm:t>
    </dgm:pt>
    <dgm:pt modelId="{CFCF59B1-465C-41D3-A148-42164C98C18B}" type="pres">
      <dgm:prSet presAssocID="{41CA3491-396B-4384-A478-ED1695C457A7}" presName="sibTrans" presStyleLbl="sibTrans2D1" presStyleIdx="1" presStyleCnt="2"/>
      <dgm:spPr/>
      <dgm:t>
        <a:bodyPr/>
        <a:lstStyle/>
        <a:p>
          <a:endParaRPr lang="en-GB"/>
        </a:p>
      </dgm:t>
    </dgm:pt>
    <dgm:pt modelId="{BD4F0921-725C-4856-BE87-87DFBF66C88C}" type="pres">
      <dgm:prSet presAssocID="{41CA3491-396B-4384-A478-ED1695C457A7}" presName="connectorText" presStyleLbl="sibTrans2D1" presStyleIdx="1" presStyleCnt="2"/>
      <dgm:spPr/>
      <dgm:t>
        <a:bodyPr/>
        <a:lstStyle/>
        <a:p>
          <a:endParaRPr lang="en-GB"/>
        </a:p>
      </dgm:t>
    </dgm:pt>
    <dgm:pt modelId="{291A5BF9-FD4A-42DA-9617-FFEFDF59F30A}" type="pres">
      <dgm:prSet presAssocID="{28B20208-13E2-4C1E-A215-C02C7EFFF023}" presName="node" presStyleLbl="node1" presStyleIdx="2" presStyleCnt="3" custScaleX="252820">
        <dgm:presLayoutVars>
          <dgm:bulletEnabled val="1"/>
        </dgm:presLayoutVars>
      </dgm:prSet>
      <dgm:spPr/>
      <dgm:t>
        <a:bodyPr/>
        <a:lstStyle/>
        <a:p>
          <a:endParaRPr lang="en-GB"/>
        </a:p>
      </dgm:t>
    </dgm:pt>
  </dgm:ptLst>
  <dgm:cxnLst>
    <dgm:cxn modelId="{9978AF94-0B7D-40BE-802D-B0A5CFEC58B6}" type="presOf" srcId="{CC7A79B8-339A-4999-B4B2-1C701C6E1C33}" destId="{8D5B3598-C23E-4137-B3C1-15A79E32725C}" srcOrd="0" destOrd="0" presId="urn:microsoft.com/office/officeart/2005/8/layout/process1"/>
    <dgm:cxn modelId="{8EC6743D-996A-4ED4-8C3A-8E93D8765044}" type="presOf" srcId="{EF49C2C2-E646-4AD1-8EC4-90353EC4DB78}" destId="{DB80DF2B-AB62-4FA0-8400-7A1FAA68EE1F}" srcOrd="0" destOrd="0" presId="urn:microsoft.com/office/officeart/2005/8/layout/process1"/>
    <dgm:cxn modelId="{9132851A-F754-4379-A49A-F2F5A8C3F13C}" srcId="{EF49C2C2-E646-4AD1-8EC4-90353EC4DB78}" destId="{CC7A79B8-339A-4999-B4B2-1C701C6E1C33}" srcOrd="0" destOrd="0" parTransId="{D5A26686-386F-42C5-8829-8E6068C01CB0}" sibTransId="{57BC5987-BE69-476A-9DE6-3B1136AC6AF5}"/>
    <dgm:cxn modelId="{18E4E6DA-ED4D-45E5-BDF7-DB660381DE5E}" type="presOf" srcId="{57BC5987-BE69-476A-9DE6-3B1136AC6AF5}" destId="{3DC40938-398F-4421-A7F4-69FE1676451C}" srcOrd="1" destOrd="0" presId="urn:microsoft.com/office/officeart/2005/8/layout/process1"/>
    <dgm:cxn modelId="{54E92175-27EE-4D95-AD6A-6CDE28B8A8AB}" type="presOf" srcId="{41CA3491-396B-4384-A478-ED1695C457A7}" destId="{BD4F0921-725C-4856-BE87-87DFBF66C88C}" srcOrd="1" destOrd="0" presId="urn:microsoft.com/office/officeart/2005/8/layout/process1"/>
    <dgm:cxn modelId="{B03B4825-A6DC-43A7-9A5E-767AEC15D494}" type="presOf" srcId="{26FE8B94-7AE9-4530-BE21-D21BC2C6CE79}" destId="{0AE57F2C-13D0-4C8E-A509-DDE0A62F281C}" srcOrd="0" destOrd="0" presId="urn:microsoft.com/office/officeart/2005/8/layout/process1"/>
    <dgm:cxn modelId="{AFA5100A-98AF-4103-88BE-2BA603FE02DC}" srcId="{EF49C2C2-E646-4AD1-8EC4-90353EC4DB78}" destId="{26FE8B94-7AE9-4530-BE21-D21BC2C6CE79}" srcOrd="1" destOrd="0" parTransId="{EB52654E-04B4-44F3-A24C-5C8811C4767D}" sibTransId="{41CA3491-396B-4384-A478-ED1695C457A7}"/>
    <dgm:cxn modelId="{B751254A-E56B-4ACF-98A1-E38A2568C322}" srcId="{EF49C2C2-E646-4AD1-8EC4-90353EC4DB78}" destId="{28B20208-13E2-4C1E-A215-C02C7EFFF023}" srcOrd="2" destOrd="0" parTransId="{A54EBF76-6764-4752-AD43-B6440425443C}" sibTransId="{33458045-89CD-436D-8D0C-C79747CDF2B7}"/>
    <dgm:cxn modelId="{D1791359-E8F5-415E-8086-11A85F886E29}" type="presOf" srcId="{28B20208-13E2-4C1E-A215-C02C7EFFF023}" destId="{291A5BF9-FD4A-42DA-9617-FFEFDF59F30A}" srcOrd="0" destOrd="0" presId="urn:microsoft.com/office/officeart/2005/8/layout/process1"/>
    <dgm:cxn modelId="{BCE6FB83-2AD3-48AA-90A2-7823A5590BC1}" type="presOf" srcId="{57BC5987-BE69-476A-9DE6-3B1136AC6AF5}" destId="{3E6363B0-C6EE-4739-A3F0-9A98BA7C987B}" srcOrd="0" destOrd="0" presId="urn:microsoft.com/office/officeart/2005/8/layout/process1"/>
    <dgm:cxn modelId="{5A92B135-1DE0-46A9-B3D1-BDDD02E79D0C}" type="presOf" srcId="{41CA3491-396B-4384-A478-ED1695C457A7}" destId="{CFCF59B1-465C-41D3-A148-42164C98C18B}" srcOrd="0" destOrd="0" presId="urn:microsoft.com/office/officeart/2005/8/layout/process1"/>
    <dgm:cxn modelId="{48C725CC-97EC-432F-A7C9-53000C4171D3}" type="presParOf" srcId="{DB80DF2B-AB62-4FA0-8400-7A1FAA68EE1F}" destId="{8D5B3598-C23E-4137-B3C1-15A79E32725C}" srcOrd="0" destOrd="0" presId="urn:microsoft.com/office/officeart/2005/8/layout/process1"/>
    <dgm:cxn modelId="{A8A5FC0F-3AC9-46C3-990D-685165A7E6FB}" type="presParOf" srcId="{DB80DF2B-AB62-4FA0-8400-7A1FAA68EE1F}" destId="{3E6363B0-C6EE-4739-A3F0-9A98BA7C987B}" srcOrd="1" destOrd="0" presId="urn:microsoft.com/office/officeart/2005/8/layout/process1"/>
    <dgm:cxn modelId="{94956D3D-DF59-496A-B0D0-A11ED76438EF}" type="presParOf" srcId="{3E6363B0-C6EE-4739-A3F0-9A98BA7C987B}" destId="{3DC40938-398F-4421-A7F4-69FE1676451C}" srcOrd="0" destOrd="0" presId="urn:microsoft.com/office/officeart/2005/8/layout/process1"/>
    <dgm:cxn modelId="{D709F529-73C7-46A4-9516-D6B618E9E228}" type="presParOf" srcId="{DB80DF2B-AB62-4FA0-8400-7A1FAA68EE1F}" destId="{0AE57F2C-13D0-4C8E-A509-DDE0A62F281C}" srcOrd="2" destOrd="0" presId="urn:microsoft.com/office/officeart/2005/8/layout/process1"/>
    <dgm:cxn modelId="{7D9BCDC4-CDD4-4AB4-9528-0FEC1544714D}" type="presParOf" srcId="{DB80DF2B-AB62-4FA0-8400-7A1FAA68EE1F}" destId="{CFCF59B1-465C-41D3-A148-42164C98C18B}" srcOrd="3" destOrd="0" presId="urn:microsoft.com/office/officeart/2005/8/layout/process1"/>
    <dgm:cxn modelId="{5031B58A-2678-4836-AF54-EDA1B6B3D124}" type="presParOf" srcId="{CFCF59B1-465C-41D3-A148-42164C98C18B}" destId="{BD4F0921-725C-4856-BE87-87DFBF66C88C}" srcOrd="0" destOrd="0" presId="urn:microsoft.com/office/officeart/2005/8/layout/process1"/>
    <dgm:cxn modelId="{84C6882B-B91B-4FA8-8BF7-DBCCC300B00F}" type="presParOf" srcId="{DB80DF2B-AB62-4FA0-8400-7A1FAA68EE1F}" destId="{291A5BF9-FD4A-42DA-9617-FFEFDF59F30A}"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B3598-C23E-4137-B3C1-15A79E32725C}">
      <dsp:nvSpPr>
        <dsp:cNvPr id="0" name=""/>
        <dsp:cNvSpPr/>
      </dsp:nvSpPr>
      <dsp:spPr>
        <a:xfrm>
          <a:off x="82" y="80757"/>
          <a:ext cx="1654259" cy="98148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Exceptional Delivery Model (EDM)</a:t>
          </a:r>
        </a:p>
        <a:p>
          <a:pPr lvl="0" algn="ctr" defTabSz="444500">
            <a:lnSpc>
              <a:spcPct val="90000"/>
            </a:lnSpc>
            <a:spcBef>
              <a:spcPct val="0"/>
            </a:spcBef>
            <a:spcAft>
              <a:spcPct val="35000"/>
            </a:spcAft>
          </a:pPr>
          <a:r>
            <a:rPr lang="en-GB" sz="1000" kern="1200"/>
            <a:t>Sets expectations and Red Lines for regime elements</a:t>
          </a:r>
        </a:p>
      </dsp:txBody>
      <dsp:txXfrm>
        <a:off x="28829" y="109504"/>
        <a:ext cx="1596765" cy="923990"/>
      </dsp:txXfrm>
    </dsp:sp>
    <dsp:sp modelId="{3E6363B0-C6EE-4739-A3F0-9A98BA7C987B}">
      <dsp:nvSpPr>
        <dsp:cNvPr id="0" name=""/>
        <dsp:cNvSpPr/>
      </dsp:nvSpPr>
      <dsp:spPr>
        <a:xfrm>
          <a:off x="1719773" y="490363"/>
          <a:ext cx="138716" cy="162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719773" y="522817"/>
        <a:ext cx="97101" cy="97364"/>
      </dsp:txXfrm>
    </dsp:sp>
    <dsp:sp modelId="{0AE57F2C-13D0-4C8E-A509-DDE0A62F281C}">
      <dsp:nvSpPr>
        <dsp:cNvPr id="0" name=""/>
        <dsp:cNvSpPr/>
      </dsp:nvSpPr>
      <dsp:spPr>
        <a:xfrm>
          <a:off x="1916070" y="80757"/>
          <a:ext cx="1654259" cy="981484"/>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Risk Assessment</a:t>
          </a:r>
        </a:p>
        <a:p>
          <a:pPr lvl="0" algn="ctr" defTabSz="444500">
            <a:lnSpc>
              <a:spcPct val="90000"/>
            </a:lnSpc>
            <a:spcBef>
              <a:spcPct val="0"/>
            </a:spcBef>
            <a:spcAft>
              <a:spcPct val="35000"/>
            </a:spcAft>
          </a:pPr>
          <a:r>
            <a:rPr lang="en-GB" sz="1000" kern="1200"/>
            <a:t>Identifies risks posed when delivering regime elements</a:t>
          </a:r>
        </a:p>
      </dsp:txBody>
      <dsp:txXfrm>
        <a:off x="1944817" y="109504"/>
        <a:ext cx="1596765" cy="923990"/>
      </dsp:txXfrm>
    </dsp:sp>
    <dsp:sp modelId="{CFCF59B1-465C-41D3-A148-42164C98C18B}">
      <dsp:nvSpPr>
        <dsp:cNvPr id="0" name=""/>
        <dsp:cNvSpPr/>
      </dsp:nvSpPr>
      <dsp:spPr>
        <a:xfrm>
          <a:off x="3635761" y="490363"/>
          <a:ext cx="138716" cy="1622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3635761" y="522817"/>
        <a:ext cx="97101" cy="97364"/>
      </dsp:txXfrm>
    </dsp:sp>
    <dsp:sp modelId="{291A5BF9-FD4A-42DA-9617-FFEFDF59F30A}">
      <dsp:nvSpPr>
        <dsp:cNvPr id="0" name=""/>
        <dsp:cNvSpPr/>
      </dsp:nvSpPr>
      <dsp:spPr>
        <a:xfrm>
          <a:off x="3832058" y="80757"/>
          <a:ext cx="1654259" cy="98148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Operating Procedures</a:t>
          </a:r>
        </a:p>
        <a:p>
          <a:pPr lvl="0" algn="ctr" defTabSz="444500">
            <a:lnSpc>
              <a:spcPct val="90000"/>
            </a:lnSpc>
            <a:spcBef>
              <a:spcPct val="0"/>
            </a:spcBef>
            <a:spcAft>
              <a:spcPct val="35000"/>
            </a:spcAft>
          </a:pPr>
          <a:r>
            <a:rPr lang="en-GB" sz="1000" kern="1200"/>
            <a:t>Mitigates the risks posed in order to deliver expectations safely</a:t>
          </a:r>
        </a:p>
      </dsp:txBody>
      <dsp:txXfrm>
        <a:off x="3860805" y="109504"/>
        <a:ext cx="1596765" cy="9239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A059-5F59-4512-A392-10631B4F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705B459F</Template>
  <TotalTime>0</TotalTime>
  <Pages>10</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Head</dc:creator>
  <cp:lastModifiedBy>Harrison, Michael [HMPS]</cp:lastModifiedBy>
  <cp:revision>2</cp:revision>
  <cp:lastPrinted>2016-01-11T10:40:00Z</cp:lastPrinted>
  <dcterms:created xsi:type="dcterms:W3CDTF">2020-07-28T08:21:00Z</dcterms:created>
  <dcterms:modified xsi:type="dcterms:W3CDTF">2020-07-28T08:21:00Z</dcterms:modified>
</cp:coreProperties>
</file>