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170" w:type="dxa"/>
          <w:right w:w="170" w:type="dxa"/>
        </w:tblCellMar>
        <w:tblLook w:val="04A0" w:firstRow="1" w:lastRow="0" w:firstColumn="1" w:lastColumn="0" w:noHBand="0" w:noVBand="1"/>
      </w:tblPr>
      <w:tblGrid>
        <w:gridCol w:w="10034"/>
      </w:tblGrid>
      <w:tr w:rsidR="00175092" w:rsidRPr="00C20562" w14:paraId="47F107F5" w14:textId="77777777" w:rsidTr="0094555F">
        <w:trPr>
          <w:trHeight w:hRule="exact" w:val="2796"/>
        </w:trPr>
        <w:tc>
          <w:tcPr>
            <w:tcW w:w="9468" w:type="dxa"/>
            <w:shd w:val="clear" w:color="auto" w:fill="auto"/>
          </w:tcPr>
          <w:p w14:paraId="12A7BC57" w14:textId="77777777" w:rsidR="00175092" w:rsidRPr="00C20562" w:rsidRDefault="00175092" w:rsidP="0094555F">
            <w:pPr>
              <w:jc w:val="both"/>
            </w:pPr>
          </w:p>
        </w:tc>
      </w:tr>
      <w:tr w:rsidR="00175092" w:rsidRPr="00550D4A" w14:paraId="3D77BDB8" w14:textId="77777777" w:rsidTr="0094555F">
        <w:trPr>
          <w:trHeight w:hRule="exact" w:val="4253"/>
        </w:trPr>
        <w:tc>
          <w:tcPr>
            <w:tcW w:w="9468" w:type="dxa"/>
            <w:shd w:val="clear" w:color="auto" w:fill="auto"/>
          </w:tcPr>
          <w:p w14:paraId="04CB1E3F" w14:textId="77777777" w:rsidR="00BC541C" w:rsidRDefault="00BC541C" w:rsidP="0094555F">
            <w:pPr>
              <w:pStyle w:val="CoverTitle"/>
              <w:rPr>
                <w:sz w:val="52"/>
                <w:szCs w:val="52"/>
              </w:rPr>
            </w:pPr>
            <w:r w:rsidRPr="00BC541C">
              <w:rPr>
                <w:sz w:val="52"/>
                <w:szCs w:val="52"/>
              </w:rPr>
              <w:t>HMPPS Prison Regime Recovery Planning</w:t>
            </w:r>
            <w:r>
              <w:rPr>
                <w:sz w:val="52"/>
                <w:szCs w:val="52"/>
              </w:rPr>
              <w:t xml:space="preserve"> – </w:t>
            </w:r>
          </w:p>
          <w:p w14:paraId="7F53FB00" w14:textId="35FD2FE6" w:rsidR="00BC541C" w:rsidRDefault="00BC541C" w:rsidP="00BC541C">
            <w:pPr>
              <w:pStyle w:val="CoverTitle"/>
              <w:rPr>
                <w:sz w:val="52"/>
                <w:szCs w:val="52"/>
              </w:rPr>
            </w:pPr>
            <w:r>
              <w:rPr>
                <w:sz w:val="52"/>
                <w:szCs w:val="52"/>
              </w:rPr>
              <w:t>Exceptional Delivery Model (EDM)</w:t>
            </w:r>
            <w:r w:rsidR="000630E5">
              <w:rPr>
                <w:sz w:val="52"/>
                <w:szCs w:val="52"/>
              </w:rPr>
              <w:t xml:space="preserve"> 6</w:t>
            </w:r>
          </w:p>
          <w:p w14:paraId="53D11DF8" w14:textId="77777777" w:rsidR="00BC541C" w:rsidRPr="00BC541C" w:rsidRDefault="00BC541C" w:rsidP="00BD275D">
            <w:pPr>
              <w:pStyle w:val="CoverTitle"/>
              <w:rPr>
                <w:sz w:val="52"/>
                <w:szCs w:val="52"/>
              </w:rPr>
            </w:pPr>
            <w:r>
              <w:rPr>
                <w:sz w:val="52"/>
                <w:szCs w:val="52"/>
              </w:rPr>
              <w:t>ROTL for external work placements</w:t>
            </w:r>
          </w:p>
          <w:p w14:paraId="18778D63" w14:textId="37741B3B" w:rsidR="00BC541C" w:rsidRPr="00550D4A" w:rsidRDefault="000630E5" w:rsidP="0094555F">
            <w:pPr>
              <w:pStyle w:val="CoverTitle"/>
            </w:pPr>
            <w:r w:rsidRPr="000630E5">
              <w:rPr>
                <w:sz w:val="52"/>
              </w:rPr>
              <w:t>A</w:t>
            </w:r>
            <w:r w:rsidR="00E66104">
              <w:rPr>
                <w:sz w:val="52"/>
              </w:rPr>
              <w:t>greed</w:t>
            </w:r>
            <w:r w:rsidRPr="000630E5">
              <w:rPr>
                <w:sz w:val="52"/>
              </w:rPr>
              <w:t xml:space="preserve"> </w:t>
            </w:r>
            <w:r w:rsidR="00910DE6">
              <w:rPr>
                <w:sz w:val="52"/>
              </w:rPr>
              <w:t xml:space="preserve">Published </w:t>
            </w:r>
            <w:r w:rsidRPr="000630E5">
              <w:rPr>
                <w:sz w:val="52"/>
              </w:rPr>
              <w:t>Version 1.0</w:t>
            </w:r>
          </w:p>
        </w:tc>
      </w:tr>
      <w:tr w:rsidR="00175092" w:rsidRPr="00EA1B3A" w14:paraId="2764957D" w14:textId="77777777" w:rsidTr="0094555F">
        <w:trPr>
          <w:trHeight w:hRule="exact" w:val="1985"/>
        </w:trPr>
        <w:tc>
          <w:tcPr>
            <w:tcW w:w="9468" w:type="dxa"/>
            <w:shd w:val="clear" w:color="auto" w:fill="auto"/>
          </w:tcPr>
          <w:p w14:paraId="35B622DF" w14:textId="77777777" w:rsidR="00175092" w:rsidRPr="006A79AE" w:rsidRDefault="00175092" w:rsidP="0094555F">
            <w:pPr>
              <w:pStyle w:val="CoverAuthor"/>
              <w:jc w:val="both"/>
              <w:rPr>
                <w:b/>
              </w:rPr>
            </w:pPr>
          </w:p>
        </w:tc>
      </w:tr>
      <w:tr w:rsidR="00175092" w:rsidRPr="00EA1B3A" w14:paraId="7B6083B4" w14:textId="77777777" w:rsidTr="0094555F">
        <w:tblPrEx>
          <w:tblCellMar>
            <w:left w:w="108" w:type="dxa"/>
            <w:right w:w="108" w:type="dxa"/>
          </w:tblCellMar>
        </w:tblPrEx>
        <w:tc>
          <w:tcPr>
            <w:tcW w:w="10286" w:type="dxa"/>
            <w:shd w:val="clear" w:color="auto" w:fill="auto"/>
          </w:tcPr>
          <w:p w14:paraId="58C79308" w14:textId="6778AF39" w:rsidR="00175092" w:rsidRPr="006A79AE" w:rsidRDefault="00B0478C" w:rsidP="0094555F">
            <w:pPr>
              <w:pStyle w:val="CoverDate"/>
              <w:jc w:val="both"/>
              <w:rPr>
                <w:b/>
              </w:rPr>
            </w:pPr>
            <w:r>
              <w:rPr>
                <w:b/>
              </w:rPr>
              <w:t>3 July 2020</w:t>
            </w:r>
          </w:p>
        </w:tc>
      </w:tr>
    </w:tbl>
    <w:p w14:paraId="40A97C83" w14:textId="77777777" w:rsidR="00175092" w:rsidRDefault="00175092" w:rsidP="00175092">
      <w:pPr>
        <w:spacing w:after="0"/>
        <w:jc w:val="both"/>
        <w:sectPr w:rsidR="00175092" w:rsidSect="00175092">
          <w:headerReference w:type="even" r:id="rId11"/>
          <w:headerReference w:type="first" r:id="rId12"/>
          <w:footerReference w:type="first" r:id="rId13"/>
          <w:pgSz w:w="11906" w:h="16838" w:code="9"/>
          <w:pgMar w:top="1531" w:right="851" w:bottom="1134" w:left="851" w:header="737" w:footer="227" w:gutter="170"/>
          <w:cols w:space="312"/>
          <w:titlePg/>
          <w:docGrid w:linePitch="360"/>
        </w:sectPr>
      </w:pPr>
    </w:p>
    <w:p w14:paraId="411A8BA0" w14:textId="77777777" w:rsidR="00B22212" w:rsidRPr="008766BA" w:rsidRDefault="00B22212" w:rsidP="002930D1">
      <w:pPr>
        <w:spacing w:after="0" w:line="240" w:lineRule="auto"/>
        <w:jc w:val="both"/>
        <w:rPr>
          <w:b/>
          <w:sz w:val="24"/>
          <w:szCs w:val="24"/>
        </w:rPr>
      </w:pPr>
    </w:p>
    <w:p w14:paraId="326B5164" w14:textId="77777777" w:rsidR="001B5C73" w:rsidRDefault="00B22212" w:rsidP="00A52824">
      <w:pPr>
        <w:spacing w:after="0" w:line="360" w:lineRule="auto"/>
        <w:jc w:val="both"/>
        <w:rPr>
          <w:b/>
          <w:sz w:val="32"/>
        </w:rPr>
      </w:pPr>
      <w:r>
        <w:rPr>
          <w:b/>
          <w:sz w:val="32"/>
        </w:rPr>
        <w:t>ROTL for external work placements</w:t>
      </w:r>
    </w:p>
    <w:p w14:paraId="6083AEBB" w14:textId="77777777" w:rsidR="00E940D8" w:rsidRPr="00E940D8" w:rsidRDefault="00E940D8" w:rsidP="00E940D8">
      <w:pPr>
        <w:spacing w:after="0" w:line="360" w:lineRule="auto"/>
        <w:jc w:val="both"/>
        <w:rPr>
          <w:rFonts w:eastAsia="Times New Roman" w:cstheme="minorHAnsi"/>
          <w:b/>
          <w:u w:val="single"/>
        </w:rPr>
      </w:pPr>
      <w:r w:rsidRPr="00E940D8">
        <w:rPr>
          <w:rFonts w:eastAsia="Times New Roman" w:cstheme="minorHAnsi"/>
          <w:b/>
          <w:u w:val="single"/>
        </w:rPr>
        <w:t xml:space="preserve">Introduction </w:t>
      </w:r>
    </w:p>
    <w:p w14:paraId="36D334F2" w14:textId="77777777" w:rsidR="00E940D8" w:rsidRPr="00E940D8" w:rsidRDefault="00E940D8" w:rsidP="00E940D8">
      <w:pPr>
        <w:rPr>
          <w:rFonts w:cstheme="minorHAnsi"/>
          <w:b/>
          <w:bCs/>
          <w:u w:val="single"/>
        </w:rPr>
      </w:pPr>
      <w:r w:rsidRPr="00E940D8">
        <w:rPr>
          <w:rFonts w:cstheme="minorHAnsi"/>
          <w:b/>
          <w:bCs/>
          <w:u w:val="single"/>
        </w:rPr>
        <w:t>Exceptional Delivery Models (EDMs)</w:t>
      </w:r>
    </w:p>
    <w:p w14:paraId="5FA2E8CD" w14:textId="77777777" w:rsidR="00E940D8" w:rsidRPr="00E940D8" w:rsidRDefault="00E940D8" w:rsidP="00E940D8">
      <w:pPr>
        <w:jc w:val="both"/>
        <w:rPr>
          <w:rFonts w:cstheme="minorHAnsi"/>
        </w:rPr>
      </w:pPr>
      <w:r w:rsidRPr="00E940D8">
        <w:rPr>
          <w:rFonts w:cstheme="minorHAnsi"/>
        </w:rPr>
        <w:t xml:space="preserve">A suite of EDMs are being published as part of the guidance for prisons to guide them through construction of local RRMPs. This EDM is a brief guide on the high-level principles that must be incorporated into a local plan for each element of regime delivery. It is essential that the plan for reinstating an element of the regime does more than simply reintroduce the local procedures that pre-dated COVID measures. Each local plan must incorporate social distancing and </w:t>
      </w:r>
      <w:proofErr w:type="spellStart"/>
      <w:r w:rsidRPr="00E940D8">
        <w:rPr>
          <w:rFonts w:cstheme="minorHAnsi"/>
        </w:rPr>
        <w:t>cohorting</w:t>
      </w:r>
      <w:proofErr w:type="spellEnd"/>
      <w:r w:rsidRPr="00E940D8">
        <w:rPr>
          <w:rFonts w:cstheme="minorHAnsi"/>
        </w:rPr>
        <w:t xml:space="preserve"> measures, medical considerations, PPE and hygiene requirements (including regular hand-washing), as well as security and safety considerations. Each EDM will also guide establishments on the most procedurally just way to stand up each regime element under continuing COVID restrictions. </w:t>
      </w:r>
    </w:p>
    <w:p w14:paraId="07C9E5DB" w14:textId="77777777" w:rsidR="00E940D8" w:rsidRPr="00E940D8" w:rsidRDefault="00E940D8" w:rsidP="00E940D8">
      <w:pPr>
        <w:jc w:val="both"/>
        <w:rPr>
          <w:rFonts w:cstheme="minorHAnsi"/>
        </w:rPr>
      </w:pPr>
    </w:p>
    <w:p w14:paraId="6783ACD1" w14:textId="77777777" w:rsidR="00E940D8" w:rsidRPr="00E940D8" w:rsidRDefault="00E940D8" w:rsidP="00E940D8">
      <w:pPr>
        <w:jc w:val="both"/>
        <w:rPr>
          <w:rFonts w:cstheme="minorHAnsi"/>
        </w:rPr>
      </w:pPr>
      <w:r w:rsidRPr="00E940D8">
        <w:rPr>
          <w:rFonts w:cstheme="minorHAnsi"/>
        </w:rPr>
        <w:t xml:space="preserve">Each establishment must create a plan for every element of regime that is relevant to their category and function based on the guidance in its respective EDM. Mirroring the approach taken during the development of ERMPs, establishments have local autonomy to determine the formal and contents of each plan or procedure they produce from the EDMs but the RRP they complete summarising their local recovery proposal will be based on a template provided. </w:t>
      </w:r>
    </w:p>
    <w:p w14:paraId="4189B8D9" w14:textId="77777777" w:rsidR="00E940D8" w:rsidRPr="00E940D8" w:rsidRDefault="00E940D8" w:rsidP="00E940D8">
      <w:pPr>
        <w:jc w:val="both"/>
        <w:rPr>
          <w:rFonts w:cstheme="minorHAnsi"/>
          <w:highlight w:val="yellow"/>
        </w:rPr>
      </w:pPr>
    </w:p>
    <w:p w14:paraId="5B853E63" w14:textId="77777777" w:rsidR="00E940D8" w:rsidRPr="00E940D8" w:rsidRDefault="00E940D8" w:rsidP="00E940D8">
      <w:pPr>
        <w:jc w:val="both"/>
        <w:rPr>
          <w:rFonts w:cstheme="minorHAnsi"/>
        </w:rPr>
      </w:pPr>
      <w:r w:rsidRPr="00E940D8">
        <w:rPr>
          <w:rFonts w:cstheme="minorHAnsi"/>
        </w:rPr>
        <w:t xml:space="preserve">This EDM has been developed jointly by policy and operational colleagues in conjunction with specific stakeholders relevant to each area. Each EDM breaks each regime element into a series of processes or areas. Under each one there are a set of baseline requirements which must be met by each establishment. Every baseline requirement has an importance weighting from one (lowest) to three (highest) attributed to it, to assist prisons in planning and sequencing activity required. Baselines are split into those that are mandatory and those that are desirable. Each baseline also has a “level of autonomy” attached. This describes the level of freedom an establishment has over the design of the product/output required to satisfy each baseline. </w:t>
      </w:r>
    </w:p>
    <w:p w14:paraId="21B748D6" w14:textId="77777777" w:rsidR="00E940D8" w:rsidRPr="00E940D8" w:rsidRDefault="00E940D8" w:rsidP="00E940D8">
      <w:pPr>
        <w:spacing w:after="0" w:line="240" w:lineRule="auto"/>
        <w:jc w:val="both"/>
        <w:rPr>
          <w:rFonts w:eastAsia="Times New Roman" w:cstheme="minorHAnsi"/>
        </w:rPr>
      </w:pPr>
    </w:p>
    <w:p w14:paraId="674BCC20" w14:textId="77777777" w:rsidR="00E940D8" w:rsidRPr="00E940D8" w:rsidRDefault="00E940D8" w:rsidP="00E940D8">
      <w:pPr>
        <w:jc w:val="both"/>
        <w:rPr>
          <w:rFonts w:cstheme="minorHAnsi"/>
          <w:b/>
          <w:bCs/>
          <w:u w:val="single"/>
        </w:rPr>
      </w:pPr>
      <w:r w:rsidRPr="00E940D8">
        <w:rPr>
          <w:rFonts w:cstheme="minorHAnsi"/>
          <w:b/>
          <w:bCs/>
          <w:u w:val="single"/>
        </w:rPr>
        <w:t>Regime Recovery Management Plans- RRMP</w:t>
      </w:r>
    </w:p>
    <w:p w14:paraId="61E2CD9A" w14:textId="77777777" w:rsidR="00E940D8" w:rsidRPr="00E940D8" w:rsidRDefault="00E940D8" w:rsidP="00E940D8">
      <w:pPr>
        <w:jc w:val="both"/>
        <w:rPr>
          <w:rFonts w:cstheme="minorHAnsi"/>
        </w:rPr>
      </w:pPr>
      <w:r w:rsidRPr="00E940D8">
        <w:rPr>
          <w:rFonts w:cstheme="minorHAnsi"/>
        </w:rPr>
        <w:t>Prisons are required to develop local Regime Recovery Management Plans (RRMP) based on a suite of national guidance documents called Exceptional Delivery Models (EDM). Establishments are being provided with high level guidance outlinin</w:t>
      </w:r>
      <w:bookmarkStart w:id="0" w:name="_GoBack"/>
      <w:bookmarkEnd w:id="0"/>
      <w:r w:rsidRPr="00E940D8">
        <w:rPr>
          <w:rFonts w:cstheme="minorHAnsi"/>
        </w:rPr>
        <w:t>g the parameters they must work within but have autonomy to build their own bespoke plans based on what works locally. Establishments will submit their RRMP together with a readiness assessment to their respective Prison Group Director (PGD). Further details are contained within the published National Framework on Regimes &amp; Services.</w:t>
      </w:r>
    </w:p>
    <w:p w14:paraId="0D7E3142" w14:textId="77777777" w:rsidR="00641785" w:rsidRDefault="00641785" w:rsidP="00E406A4">
      <w:pPr>
        <w:spacing w:after="0" w:line="240" w:lineRule="auto"/>
        <w:jc w:val="both"/>
        <w:rPr>
          <w:b/>
          <w:sz w:val="24"/>
          <w:szCs w:val="24"/>
        </w:rPr>
      </w:pPr>
    </w:p>
    <w:p w14:paraId="3D34772F" w14:textId="77777777" w:rsidR="00BC4017" w:rsidRDefault="00BC5317" w:rsidP="00BC4017">
      <w:pPr>
        <w:spacing w:after="0" w:line="240" w:lineRule="auto"/>
        <w:jc w:val="both"/>
        <w:rPr>
          <w:rFonts w:cs="Arial"/>
          <w:b/>
        </w:rPr>
      </w:pPr>
      <w:r w:rsidRPr="002114FB">
        <w:rPr>
          <w:rFonts w:cs="Arial"/>
          <w:b/>
        </w:rPr>
        <w:t>The EDM in relation to ROTL for external work placements is provided overleaf.</w:t>
      </w:r>
      <w:r w:rsidR="006A2BF7">
        <w:rPr>
          <w:rFonts w:cs="Arial"/>
          <w:b/>
        </w:rPr>
        <w:t xml:space="preserve"> This advice will be updated as Government guidance evolves and any changes to HMPPS regimes are made over-all.</w:t>
      </w:r>
    </w:p>
    <w:p w14:paraId="20CD277C" w14:textId="77777777" w:rsidR="00682388" w:rsidRPr="00682388" w:rsidRDefault="00682388" w:rsidP="00682388">
      <w:pPr>
        <w:rPr>
          <w:b/>
        </w:rPr>
      </w:pPr>
      <w:r w:rsidRPr="00682388">
        <w:rPr>
          <w:b/>
        </w:rPr>
        <w:t>Governors must follow guidance from C</w:t>
      </w:r>
      <w:r w:rsidR="00FB47E8">
        <w:rPr>
          <w:b/>
        </w:rPr>
        <w:t>OVID</w:t>
      </w:r>
      <w:r w:rsidRPr="00682388">
        <w:rPr>
          <w:b/>
        </w:rPr>
        <w:t>-Gold as it emerges</w:t>
      </w:r>
      <w:r w:rsidR="00FB47E8">
        <w:rPr>
          <w:b/>
        </w:rPr>
        <w:t>,</w:t>
      </w:r>
      <w:r w:rsidRPr="00682388">
        <w:rPr>
          <w:b/>
        </w:rPr>
        <w:t xml:space="preserve"> with regards to </w:t>
      </w:r>
      <w:proofErr w:type="spellStart"/>
      <w:r w:rsidRPr="00682388">
        <w:rPr>
          <w:b/>
        </w:rPr>
        <w:t>cohorting</w:t>
      </w:r>
      <w:proofErr w:type="spellEnd"/>
      <w:r w:rsidRPr="00682388">
        <w:rPr>
          <w:b/>
        </w:rPr>
        <w:t xml:space="preserve"> and activities.</w:t>
      </w:r>
    </w:p>
    <w:p w14:paraId="6F5D3AD2" w14:textId="77777777" w:rsidR="003958C8" w:rsidRDefault="003958C8" w:rsidP="00051EAD">
      <w:pPr>
        <w:spacing w:after="0" w:line="240" w:lineRule="auto"/>
        <w:jc w:val="both"/>
        <w:rPr>
          <w:rFonts w:ascii="Arial" w:eastAsia="Calibri" w:hAnsi="Arial" w:cs="Arial"/>
          <w:sz w:val="24"/>
          <w:szCs w:val="24"/>
          <w:lang w:bidi="he-IL"/>
        </w:rPr>
        <w:sectPr w:rsidR="003958C8" w:rsidSect="008D4DD3">
          <w:pgSz w:w="11906" w:h="16838"/>
          <w:pgMar w:top="1440" w:right="1440" w:bottom="1440" w:left="1440" w:header="708" w:footer="708" w:gutter="0"/>
          <w:cols w:space="708"/>
          <w:docGrid w:linePitch="360"/>
        </w:sectPr>
      </w:pPr>
    </w:p>
    <w:p w14:paraId="66A671D7" w14:textId="77777777" w:rsidR="00641785" w:rsidRDefault="00701B3D" w:rsidP="00780C73">
      <w:pPr>
        <w:jc w:val="both"/>
        <w:rPr>
          <w:b/>
          <w:sz w:val="28"/>
          <w:szCs w:val="28"/>
        </w:rPr>
      </w:pPr>
      <w:r w:rsidRPr="00BC5317">
        <w:rPr>
          <w:b/>
          <w:sz w:val="28"/>
          <w:szCs w:val="28"/>
        </w:rPr>
        <w:lastRenderedPageBreak/>
        <w:t xml:space="preserve">Exceptional Delivery Regime </w:t>
      </w:r>
      <w:r w:rsidR="00BC5317" w:rsidRPr="00BC5317">
        <w:rPr>
          <w:b/>
          <w:sz w:val="28"/>
          <w:szCs w:val="28"/>
        </w:rPr>
        <w:t>model:  ROTL for external work placements</w:t>
      </w:r>
    </w:p>
    <w:p w14:paraId="1A6A2025" w14:textId="77777777" w:rsidR="00303A2C" w:rsidRDefault="00303A2C" w:rsidP="007C73D2">
      <w:pPr>
        <w:spacing w:after="0" w:line="240" w:lineRule="auto"/>
        <w:jc w:val="both"/>
        <w:rPr>
          <w:rFonts w:cs="Arial"/>
        </w:rPr>
      </w:pPr>
      <w:r w:rsidRPr="007C73D2">
        <w:rPr>
          <w:rFonts w:cs="Arial"/>
        </w:rPr>
        <w:t xml:space="preserve">ROTL has largely been </w:t>
      </w:r>
      <w:r w:rsidR="00956313">
        <w:rPr>
          <w:rFonts w:cs="Arial"/>
        </w:rPr>
        <w:t>paused</w:t>
      </w:r>
      <w:r w:rsidRPr="007C73D2">
        <w:rPr>
          <w:rFonts w:cs="Arial"/>
        </w:rPr>
        <w:t xml:space="preserve"> in prisons in line with previous Government advice stating that only ‘essential workers’ should attend workplaces. This was to reduce the likelihood of the introduction and spread of COVID-19 within prisons. </w:t>
      </w:r>
    </w:p>
    <w:p w14:paraId="745FF984" w14:textId="77777777" w:rsidR="007C73D2" w:rsidRPr="007C73D2" w:rsidRDefault="007C73D2" w:rsidP="007C73D2">
      <w:pPr>
        <w:spacing w:after="0" w:line="240" w:lineRule="auto"/>
        <w:jc w:val="both"/>
        <w:rPr>
          <w:rFonts w:cs="Arial"/>
        </w:rPr>
      </w:pPr>
    </w:p>
    <w:p w14:paraId="20F42122" w14:textId="77777777" w:rsidR="00653DF5" w:rsidRDefault="00303A2C" w:rsidP="000A0320">
      <w:pPr>
        <w:spacing w:after="0" w:line="240" w:lineRule="auto"/>
        <w:jc w:val="both"/>
        <w:rPr>
          <w:rFonts w:cs="Arial"/>
        </w:rPr>
      </w:pPr>
      <w:r w:rsidRPr="007C73D2">
        <w:rPr>
          <w:rFonts w:cs="Arial"/>
        </w:rPr>
        <w:t xml:space="preserve">In response to the latest Government advice, </w:t>
      </w:r>
      <w:r w:rsidR="00217798">
        <w:rPr>
          <w:rFonts w:cs="Arial"/>
        </w:rPr>
        <w:t xml:space="preserve">many </w:t>
      </w:r>
      <w:r w:rsidRPr="007C73D2">
        <w:rPr>
          <w:rFonts w:cs="Arial"/>
        </w:rPr>
        <w:t xml:space="preserve">businesses are starting to reopen. Employers are likely to want staff who were working for them </w:t>
      </w:r>
      <w:r w:rsidR="00CF0B61">
        <w:rPr>
          <w:rFonts w:cs="Arial"/>
        </w:rPr>
        <w:t>on</w:t>
      </w:r>
      <w:r w:rsidRPr="007C73D2">
        <w:rPr>
          <w:rFonts w:cs="Arial"/>
        </w:rPr>
        <w:t xml:space="preserve"> ROTL</w:t>
      </w:r>
      <w:r w:rsidR="00E13965" w:rsidRPr="007C73D2">
        <w:rPr>
          <w:rFonts w:cs="Arial"/>
        </w:rPr>
        <w:t xml:space="preserve"> to return</w:t>
      </w:r>
      <w:r w:rsidRPr="007C73D2">
        <w:rPr>
          <w:rFonts w:cs="Arial"/>
        </w:rPr>
        <w:t xml:space="preserve">. </w:t>
      </w:r>
      <w:r w:rsidR="00651F30" w:rsidRPr="007C73D2">
        <w:rPr>
          <w:rFonts w:cs="Arial"/>
        </w:rPr>
        <w:t>Where this can be facilitated in a safe manner</w:t>
      </w:r>
      <w:r w:rsidR="00B90DFB">
        <w:rPr>
          <w:rFonts w:cs="Arial"/>
        </w:rPr>
        <w:t xml:space="preserve">, </w:t>
      </w:r>
      <w:r w:rsidR="00651F30" w:rsidRPr="007C73D2">
        <w:rPr>
          <w:rFonts w:cs="Arial"/>
        </w:rPr>
        <w:t>prisons should aim to r</w:t>
      </w:r>
      <w:r w:rsidR="00E13965" w:rsidRPr="007C73D2">
        <w:rPr>
          <w:rFonts w:cs="Arial"/>
        </w:rPr>
        <w:t>eintroduce ROTL in a phased</w:t>
      </w:r>
      <w:r w:rsidR="001A2CE1">
        <w:rPr>
          <w:rFonts w:cs="Arial"/>
        </w:rPr>
        <w:t xml:space="preserve"> way</w:t>
      </w:r>
      <w:r w:rsidR="000955C5">
        <w:rPr>
          <w:rFonts w:cs="Arial"/>
        </w:rPr>
        <w:t xml:space="preserve">. </w:t>
      </w:r>
      <w:r w:rsidR="00717ACD">
        <w:rPr>
          <w:rFonts w:cs="Arial"/>
        </w:rPr>
        <w:t>Th</w:t>
      </w:r>
      <w:r w:rsidR="00EC7C81">
        <w:rPr>
          <w:rFonts w:cs="Arial"/>
        </w:rPr>
        <w:t>is</w:t>
      </w:r>
      <w:r w:rsidR="00717ACD">
        <w:rPr>
          <w:rFonts w:cs="Arial"/>
        </w:rPr>
        <w:t xml:space="preserve"> guidance is to provide a framework in which to </w:t>
      </w:r>
      <w:r w:rsidR="000955C5">
        <w:rPr>
          <w:rFonts w:cs="Arial"/>
        </w:rPr>
        <w:t>gradual</w:t>
      </w:r>
      <w:r w:rsidR="001A2CE1">
        <w:rPr>
          <w:rFonts w:cs="Arial"/>
        </w:rPr>
        <w:t>ly</w:t>
      </w:r>
      <w:r w:rsidR="000955C5">
        <w:rPr>
          <w:rFonts w:cs="Arial"/>
        </w:rPr>
        <w:t xml:space="preserve"> reintroduce workplace ROTL</w:t>
      </w:r>
      <w:r w:rsidR="00DA54E6">
        <w:rPr>
          <w:rFonts w:cs="Arial"/>
        </w:rPr>
        <w:t xml:space="preserve"> and </w:t>
      </w:r>
      <w:r w:rsidR="00653DF5">
        <w:rPr>
          <w:rFonts w:cs="Arial"/>
        </w:rPr>
        <w:t>will be updated as required.</w:t>
      </w:r>
      <w:r w:rsidR="00DA54E6">
        <w:rPr>
          <w:rFonts w:cs="Arial"/>
        </w:rPr>
        <w:t xml:space="preserve"> </w:t>
      </w:r>
      <w:r w:rsidR="00FB47E8">
        <w:rPr>
          <w:rFonts w:cs="Arial"/>
        </w:rPr>
        <w:t xml:space="preserve">The phased approach should be aligned with the stages outlined in the </w:t>
      </w:r>
      <w:hyperlink r:id="rId14" w:history="1">
        <w:r w:rsidR="00FB47E8" w:rsidRPr="000955C5">
          <w:rPr>
            <w:rStyle w:val="Hyperlink"/>
            <w:rFonts w:cs="Arial"/>
          </w:rPr>
          <w:t>National Framework for Prison Regimes and Services</w:t>
        </w:r>
      </w:hyperlink>
      <w:r w:rsidR="00FB47E8">
        <w:rPr>
          <w:rFonts w:cs="Arial"/>
        </w:rPr>
        <w:t>.</w:t>
      </w:r>
      <w:r w:rsidR="000E544C">
        <w:rPr>
          <w:rFonts w:cs="Arial"/>
        </w:rPr>
        <w:t xml:space="preserve"> When developing the recommended documentation and procedures outlined in this guidance, input from relevant stakeholders should be decided and coordinated at a local level.</w:t>
      </w:r>
      <w:r w:rsidR="00914982">
        <w:rPr>
          <w:rFonts w:cs="Arial"/>
        </w:rPr>
        <w:t xml:space="preserve"> Staffing arrangements to support </w:t>
      </w:r>
      <w:r w:rsidR="008B4A83">
        <w:rPr>
          <w:rFonts w:cs="Arial"/>
        </w:rPr>
        <w:t xml:space="preserve">planning and delivery should also be coordinated </w:t>
      </w:r>
      <w:r w:rsidR="00C154AA">
        <w:rPr>
          <w:rFonts w:cs="Arial"/>
        </w:rPr>
        <w:t>locally</w:t>
      </w:r>
      <w:r w:rsidR="008B4A83">
        <w:rPr>
          <w:rFonts w:cs="Arial"/>
        </w:rPr>
        <w:t xml:space="preserve">. </w:t>
      </w:r>
      <w:r w:rsidR="00C10C9C">
        <w:rPr>
          <w:rFonts w:cs="Arial"/>
        </w:rPr>
        <w:t xml:space="preserve">The additional sources of information listed and the annex to this document should be used to inform activities outlined in the actions grid. </w:t>
      </w:r>
    </w:p>
    <w:p w14:paraId="50A7E9A5" w14:textId="77777777" w:rsidR="00653DF5" w:rsidRDefault="00653DF5" w:rsidP="000A0320">
      <w:pPr>
        <w:spacing w:after="0" w:line="240" w:lineRule="auto"/>
        <w:jc w:val="both"/>
        <w:rPr>
          <w:rFonts w:cs="Arial"/>
        </w:rPr>
      </w:pPr>
    </w:p>
    <w:p w14:paraId="54BB460B" w14:textId="77777777" w:rsidR="00485598" w:rsidRDefault="00485598" w:rsidP="000A0320">
      <w:pPr>
        <w:spacing w:after="0" w:line="240" w:lineRule="auto"/>
        <w:jc w:val="both"/>
        <w:rPr>
          <w:rFonts w:cs="Arial"/>
        </w:rPr>
      </w:pPr>
      <w:r w:rsidRPr="007C73D2">
        <w:rPr>
          <w:rFonts w:cs="Arial"/>
        </w:rPr>
        <w:t xml:space="preserve">Often individuals have worked extremely hard </w:t>
      </w:r>
      <w:r w:rsidR="003E5B2F">
        <w:rPr>
          <w:rFonts w:cs="Arial"/>
        </w:rPr>
        <w:t xml:space="preserve">and gone through a range of assessments </w:t>
      </w:r>
      <w:r w:rsidRPr="007C73D2">
        <w:rPr>
          <w:rFonts w:cs="Arial"/>
        </w:rPr>
        <w:t xml:space="preserve">to take up a work placement. Therefore, </w:t>
      </w:r>
      <w:r>
        <w:rPr>
          <w:rFonts w:cs="Arial"/>
        </w:rPr>
        <w:t>i</w:t>
      </w:r>
      <w:r w:rsidRPr="007C73D2">
        <w:rPr>
          <w:rFonts w:cs="Arial"/>
        </w:rPr>
        <w:t xml:space="preserve">t is important that the intention to adopt a phased approach is communicated before ROTL resumes, and prisoners understand they are unlikely to all return to work immediately.  </w:t>
      </w:r>
    </w:p>
    <w:p w14:paraId="2F7AEB70" w14:textId="77777777" w:rsidR="00C67793" w:rsidRDefault="00C67793" w:rsidP="000A0320">
      <w:pPr>
        <w:spacing w:after="0" w:line="240" w:lineRule="auto"/>
        <w:jc w:val="both"/>
        <w:rPr>
          <w:rFonts w:cs="Arial"/>
        </w:rPr>
      </w:pPr>
    </w:p>
    <w:p w14:paraId="19A7008E" w14:textId="77777777" w:rsidR="00717ACD" w:rsidRPr="00717ACD" w:rsidRDefault="00717ACD" w:rsidP="000A0320">
      <w:pPr>
        <w:spacing w:after="0" w:line="240" w:lineRule="auto"/>
        <w:jc w:val="both"/>
        <w:rPr>
          <w:rFonts w:cs="Arial"/>
          <w:u w:val="single"/>
        </w:rPr>
      </w:pPr>
      <w:r>
        <w:rPr>
          <w:rFonts w:cs="Arial"/>
          <w:u w:val="single"/>
        </w:rPr>
        <w:t>Why ROTL is important</w:t>
      </w:r>
    </w:p>
    <w:p w14:paraId="36CD0B66" w14:textId="77777777" w:rsidR="00B30156" w:rsidRDefault="00B30156" w:rsidP="000A0320">
      <w:pPr>
        <w:spacing w:after="0" w:line="240" w:lineRule="auto"/>
        <w:jc w:val="both"/>
        <w:rPr>
          <w:rFonts w:cs="Arial"/>
        </w:rPr>
      </w:pPr>
    </w:p>
    <w:p w14:paraId="733B0A4A" w14:textId="77777777" w:rsidR="00B30156" w:rsidRDefault="00B30156" w:rsidP="00B30156">
      <w:pPr>
        <w:spacing w:after="0" w:line="240" w:lineRule="auto"/>
        <w:jc w:val="both"/>
        <w:rPr>
          <w:rFonts w:cs="Arial"/>
        </w:rPr>
      </w:pPr>
      <w:r>
        <w:rPr>
          <w:rFonts w:cs="Arial"/>
        </w:rPr>
        <w:t xml:space="preserve">The regime of open prisons particularly is predicated on </w:t>
      </w:r>
      <w:r w:rsidR="00BD2CC3">
        <w:rPr>
          <w:rFonts w:cs="Arial"/>
        </w:rPr>
        <w:t xml:space="preserve">workplace </w:t>
      </w:r>
      <w:r>
        <w:rPr>
          <w:rFonts w:cs="Arial"/>
        </w:rPr>
        <w:t xml:space="preserve">ROTL. A phased return to operating workplace ROTL will contribute to the stability of an establishment, especially as prisoners become aware of the gradual easing of lockdown restrictions for businesses and the community. </w:t>
      </w:r>
    </w:p>
    <w:p w14:paraId="3B06A89A" w14:textId="77777777" w:rsidR="00485598" w:rsidRDefault="00485598" w:rsidP="000A0320">
      <w:pPr>
        <w:spacing w:after="0" w:line="240" w:lineRule="auto"/>
        <w:jc w:val="both"/>
        <w:rPr>
          <w:rFonts w:cs="Arial"/>
        </w:rPr>
      </w:pPr>
    </w:p>
    <w:p w14:paraId="097EEF32" w14:textId="77777777" w:rsidR="00954BB6" w:rsidRDefault="005C7ADF" w:rsidP="005C7ADF">
      <w:pPr>
        <w:spacing w:after="0" w:line="240" w:lineRule="auto"/>
        <w:jc w:val="both"/>
        <w:rPr>
          <w:rFonts w:cs="Arial"/>
        </w:rPr>
      </w:pPr>
      <w:r w:rsidRPr="007C73D2">
        <w:rPr>
          <w:rFonts w:cs="Arial"/>
        </w:rPr>
        <w:t xml:space="preserve">Prisoners </w:t>
      </w:r>
      <w:r>
        <w:rPr>
          <w:rFonts w:cs="Arial"/>
        </w:rPr>
        <w:t>a</w:t>
      </w:r>
      <w:r w:rsidRPr="007C73D2">
        <w:rPr>
          <w:rFonts w:cs="Arial"/>
        </w:rPr>
        <w:t>re likely to be interested in returning to work for</w:t>
      </w:r>
      <w:r>
        <w:rPr>
          <w:rFonts w:cs="Arial"/>
        </w:rPr>
        <w:t xml:space="preserve"> reasons including</w:t>
      </w:r>
      <w:r w:rsidRPr="007C73D2">
        <w:rPr>
          <w:rFonts w:cs="Arial"/>
        </w:rPr>
        <w:t xml:space="preserve"> where their income has contributed towards debt management</w:t>
      </w:r>
      <w:r>
        <w:rPr>
          <w:rFonts w:cs="Arial"/>
        </w:rPr>
        <w:t xml:space="preserve"> (for example, housing arrears, mortgages, utility bills, store cards, credit cards, overdrafts, repayment plans for car purchases)</w:t>
      </w:r>
      <w:r w:rsidRPr="007C73D2">
        <w:rPr>
          <w:rFonts w:cs="Arial"/>
        </w:rPr>
        <w:t xml:space="preserve">; </w:t>
      </w:r>
      <w:r>
        <w:rPr>
          <w:rFonts w:cs="Arial"/>
        </w:rPr>
        <w:t xml:space="preserve">court fines; legal fees; </w:t>
      </w:r>
      <w:r w:rsidRPr="007C73D2">
        <w:rPr>
          <w:rFonts w:cs="Arial"/>
        </w:rPr>
        <w:t>money is sent to family</w:t>
      </w:r>
      <w:r>
        <w:rPr>
          <w:rFonts w:cs="Arial"/>
        </w:rPr>
        <w:t xml:space="preserve"> (including to children who are financial dependents)</w:t>
      </w:r>
      <w:r w:rsidRPr="007C73D2">
        <w:rPr>
          <w:rFonts w:cs="Arial"/>
        </w:rPr>
        <w:t xml:space="preserve">; and to build up savings for </w:t>
      </w:r>
      <w:r w:rsidR="003E5B2F">
        <w:rPr>
          <w:rFonts w:cs="Arial"/>
        </w:rPr>
        <w:t xml:space="preserve">broader </w:t>
      </w:r>
      <w:r w:rsidRPr="007C73D2">
        <w:rPr>
          <w:rFonts w:cs="Arial"/>
        </w:rPr>
        <w:t xml:space="preserve">resettlement purposes. </w:t>
      </w:r>
    </w:p>
    <w:p w14:paraId="65AAFD12" w14:textId="77777777" w:rsidR="00B30156" w:rsidRDefault="00B30156" w:rsidP="005C7ADF">
      <w:pPr>
        <w:spacing w:after="0" w:line="240" w:lineRule="auto"/>
        <w:jc w:val="both"/>
        <w:rPr>
          <w:rFonts w:cs="Arial"/>
        </w:rPr>
      </w:pPr>
    </w:p>
    <w:p w14:paraId="6BBB864F" w14:textId="77777777" w:rsidR="005C7ADF" w:rsidRDefault="005C7ADF" w:rsidP="005C7ADF">
      <w:pPr>
        <w:spacing w:after="0" w:line="240" w:lineRule="auto"/>
        <w:jc w:val="both"/>
        <w:rPr>
          <w:rFonts w:cs="Arial"/>
        </w:rPr>
      </w:pPr>
      <w:r>
        <w:rPr>
          <w:rFonts w:cs="Arial"/>
        </w:rPr>
        <w:t>The ability to take up a ROTL placement whilst in prison enables individuals to</w:t>
      </w:r>
      <w:r w:rsidR="00EA089E">
        <w:rPr>
          <w:rFonts w:cs="Arial"/>
        </w:rPr>
        <w:t xml:space="preserve"> receive </w:t>
      </w:r>
      <w:r>
        <w:rPr>
          <w:rFonts w:cs="Arial"/>
        </w:rPr>
        <w:t xml:space="preserve">training, </w:t>
      </w:r>
      <w:r w:rsidR="00EA089E">
        <w:rPr>
          <w:rFonts w:cs="Arial"/>
        </w:rPr>
        <w:t xml:space="preserve">have valuable work experience and build </w:t>
      </w:r>
      <w:r>
        <w:rPr>
          <w:rFonts w:cs="Arial"/>
        </w:rPr>
        <w:t xml:space="preserve">a relationship with an employer. Many employers are willing to use ROTL placements as </w:t>
      </w:r>
      <w:r w:rsidR="00174E1E">
        <w:rPr>
          <w:rFonts w:cs="Arial"/>
        </w:rPr>
        <w:t xml:space="preserve">an </w:t>
      </w:r>
      <w:r>
        <w:rPr>
          <w:rFonts w:cs="Arial"/>
        </w:rPr>
        <w:t xml:space="preserve">opportunity to see </w:t>
      </w:r>
      <w:r w:rsidR="00174E1E">
        <w:rPr>
          <w:rFonts w:cs="Arial"/>
        </w:rPr>
        <w:t>the</w:t>
      </w:r>
      <w:r>
        <w:rPr>
          <w:rFonts w:cs="Arial"/>
        </w:rPr>
        <w:t xml:space="preserve"> work</w:t>
      </w:r>
      <w:r w:rsidR="00174E1E">
        <w:rPr>
          <w:rFonts w:cs="Arial"/>
        </w:rPr>
        <w:t xml:space="preserve"> of individuals</w:t>
      </w:r>
      <w:r>
        <w:rPr>
          <w:rFonts w:cs="Arial"/>
        </w:rPr>
        <w:t xml:space="preserve"> first-hand</w:t>
      </w:r>
      <w:r w:rsidR="00174E1E">
        <w:rPr>
          <w:rFonts w:cs="Arial"/>
        </w:rPr>
        <w:t>, with the potential of this leading to a job offer on release</w:t>
      </w:r>
      <w:r>
        <w:rPr>
          <w:rFonts w:cs="Arial"/>
        </w:rPr>
        <w:t xml:space="preserve">. </w:t>
      </w:r>
      <w:r w:rsidR="00CB5A28">
        <w:rPr>
          <w:rFonts w:cs="Arial"/>
        </w:rPr>
        <w:t xml:space="preserve">International </w:t>
      </w:r>
      <w:r w:rsidR="00DD08D9">
        <w:rPr>
          <w:rFonts w:cs="Arial"/>
        </w:rPr>
        <w:t xml:space="preserve">evidence </w:t>
      </w:r>
      <w:r w:rsidR="00CB5A28">
        <w:rPr>
          <w:rFonts w:cs="Arial"/>
        </w:rPr>
        <w:t>supports this, showing</w:t>
      </w:r>
      <w:r w:rsidR="00CB5A28" w:rsidRPr="000A0320">
        <w:rPr>
          <w:rFonts w:cs="Arial"/>
        </w:rPr>
        <w:t xml:space="preserve"> employment based temporary release can effectively enhance employment prospects upon discharge.</w:t>
      </w:r>
      <w:r w:rsidR="00C863CB">
        <w:rPr>
          <w:rFonts w:cs="Arial"/>
        </w:rPr>
        <w:t xml:space="preserve"> </w:t>
      </w:r>
      <w:r w:rsidR="003E5B2F">
        <w:rPr>
          <w:rFonts w:cs="Arial"/>
        </w:rPr>
        <w:t xml:space="preserve">Gradually reintroducing workplace ROTL will be important </w:t>
      </w:r>
      <w:r w:rsidR="00566D52">
        <w:rPr>
          <w:rFonts w:cs="Arial"/>
        </w:rPr>
        <w:t>in maintaining</w:t>
      </w:r>
      <w:r w:rsidR="003E5B2F" w:rsidRPr="007C73D2">
        <w:rPr>
          <w:rFonts w:cs="Arial"/>
        </w:rPr>
        <w:t xml:space="preserve"> </w:t>
      </w:r>
      <w:r w:rsidR="003E5B2F">
        <w:rPr>
          <w:rFonts w:cs="Arial"/>
        </w:rPr>
        <w:t xml:space="preserve">hard-earnt </w:t>
      </w:r>
      <w:r w:rsidR="003E5B2F" w:rsidRPr="007C73D2">
        <w:rPr>
          <w:rFonts w:cs="Arial"/>
        </w:rPr>
        <w:t>relationship</w:t>
      </w:r>
      <w:r w:rsidR="003E5B2F">
        <w:rPr>
          <w:rFonts w:cs="Arial"/>
        </w:rPr>
        <w:t xml:space="preserve">s </w:t>
      </w:r>
      <w:r w:rsidR="00B30156">
        <w:rPr>
          <w:rFonts w:cs="Arial"/>
        </w:rPr>
        <w:t>between the prison, individuals and</w:t>
      </w:r>
      <w:r w:rsidR="003E5B2F">
        <w:rPr>
          <w:rFonts w:cs="Arial"/>
        </w:rPr>
        <w:t xml:space="preserve"> employers. Employers are more likely to continue to provide placements in the future if prisons show willingness to adapt to the circumstances, as far as possible</w:t>
      </w:r>
      <w:r w:rsidR="003E5B2F" w:rsidRPr="007C73D2">
        <w:rPr>
          <w:rFonts w:cs="Arial"/>
        </w:rPr>
        <w:t>.</w:t>
      </w:r>
      <w:r w:rsidR="003E5B2F">
        <w:rPr>
          <w:rFonts w:cs="Arial"/>
        </w:rPr>
        <w:t xml:space="preserve"> </w:t>
      </w:r>
    </w:p>
    <w:p w14:paraId="141C7EAF" w14:textId="77777777" w:rsidR="005C7ADF" w:rsidRDefault="005C7ADF" w:rsidP="005C7ADF">
      <w:pPr>
        <w:spacing w:after="0" w:line="240" w:lineRule="auto"/>
        <w:jc w:val="both"/>
        <w:rPr>
          <w:rFonts w:cs="Arial"/>
        </w:rPr>
      </w:pPr>
    </w:p>
    <w:p w14:paraId="2434CE53" w14:textId="77777777" w:rsidR="005C7ADF" w:rsidRDefault="005C7ADF" w:rsidP="003E5B2F">
      <w:pPr>
        <w:spacing w:after="0" w:line="240" w:lineRule="auto"/>
        <w:jc w:val="both"/>
        <w:rPr>
          <w:rFonts w:cs="Arial"/>
        </w:rPr>
      </w:pPr>
      <w:r w:rsidRPr="003E5B2F">
        <w:rPr>
          <w:rFonts w:cs="Arial"/>
        </w:rPr>
        <w:t xml:space="preserve">The benefits of ROTL are such that in May 2019 the Government revised the rules on ROTL to allow more prisoners to become eligible for ROTL, earlier in their sentence. </w:t>
      </w:r>
      <w:r w:rsidRPr="000A0320">
        <w:rPr>
          <w:rFonts w:cs="Arial"/>
        </w:rPr>
        <w:t>Workplace ROTL contributes to positive community resettlement</w:t>
      </w:r>
      <w:r>
        <w:rPr>
          <w:rFonts w:cs="Arial"/>
        </w:rPr>
        <w:t xml:space="preserve"> and </w:t>
      </w:r>
      <w:r w:rsidR="003E5B2F">
        <w:rPr>
          <w:rFonts w:cs="Arial"/>
        </w:rPr>
        <w:t>improving family ties</w:t>
      </w:r>
      <w:r w:rsidRPr="000A0320">
        <w:rPr>
          <w:rFonts w:cs="Arial"/>
        </w:rPr>
        <w:t xml:space="preserve">. It is associated with a statistically significant reduction in rates of proven reoffending and frequency of reoffences. </w:t>
      </w:r>
    </w:p>
    <w:p w14:paraId="18DC1C53" w14:textId="77777777" w:rsidR="005C7ADF" w:rsidRDefault="005C7ADF" w:rsidP="000A0320">
      <w:pPr>
        <w:spacing w:after="0" w:line="240" w:lineRule="auto"/>
        <w:jc w:val="both"/>
        <w:rPr>
          <w:rFonts w:cs="Arial"/>
        </w:rPr>
      </w:pPr>
    </w:p>
    <w:p w14:paraId="4F374B48" w14:textId="77777777" w:rsidR="00C67793" w:rsidRDefault="00C67793" w:rsidP="000A0320">
      <w:pPr>
        <w:rPr>
          <w:rFonts w:cs="Arial"/>
          <w:u w:val="single"/>
        </w:rPr>
      </w:pPr>
      <w:r>
        <w:rPr>
          <w:rFonts w:cs="Arial"/>
          <w:u w:val="single"/>
        </w:rPr>
        <w:t>Prison industries</w:t>
      </w:r>
    </w:p>
    <w:p w14:paraId="174FECAA" w14:textId="77777777" w:rsidR="0021206D" w:rsidRPr="00C67793" w:rsidRDefault="00C67793" w:rsidP="00C67793">
      <w:pPr>
        <w:spacing w:before="240" w:line="240" w:lineRule="auto"/>
        <w:jc w:val="both"/>
        <w:rPr>
          <w:rFonts w:cstheme="minorHAnsi"/>
        </w:rPr>
      </w:pPr>
      <w:r>
        <w:rPr>
          <w:rFonts w:cs="Arial"/>
        </w:rPr>
        <w:t>Prison industries workshops within establishments in the open estate will be able to reopen once workplace ROTL begins. Refer to the separate Industries EDM for further guidance.</w:t>
      </w:r>
      <w:r w:rsidR="000A0320">
        <w:rPr>
          <w:rFonts w:cs="Arial"/>
        </w:rPr>
        <w:br w:type="page"/>
      </w:r>
    </w:p>
    <w:p w14:paraId="7036F19F" w14:textId="77777777" w:rsidR="00480FD8" w:rsidRDefault="00480FD8" w:rsidP="00780C73">
      <w:pPr>
        <w:jc w:val="both"/>
        <w:rPr>
          <w:b/>
        </w:rPr>
        <w:sectPr w:rsidR="00480FD8" w:rsidSect="000A0320">
          <w:pgSz w:w="11906" w:h="16838"/>
          <w:pgMar w:top="1440" w:right="1440" w:bottom="1135" w:left="1440" w:header="708" w:footer="708" w:gutter="0"/>
          <w:cols w:space="708"/>
          <w:docGrid w:linePitch="360"/>
        </w:sectPr>
      </w:pPr>
    </w:p>
    <w:p w14:paraId="06E065FD" w14:textId="77777777" w:rsidR="008D4DD3" w:rsidRPr="008D4DD3" w:rsidRDefault="008D4DD3" w:rsidP="00780C73">
      <w:pPr>
        <w:jc w:val="both"/>
        <w:rPr>
          <w:b/>
        </w:rPr>
      </w:pPr>
      <w:r w:rsidRPr="008D4DD3">
        <w:rPr>
          <w:b/>
        </w:rPr>
        <w:lastRenderedPageBreak/>
        <w:t>Guide to weightings/prioritisation (mandatory tasks only)</w:t>
      </w:r>
    </w:p>
    <w:tbl>
      <w:tblPr>
        <w:tblStyle w:val="HMPPSTable"/>
        <w:tblW w:w="7459" w:type="dxa"/>
        <w:tblInd w:w="-289" w:type="dxa"/>
        <w:tblLook w:val="04A0" w:firstRow="1" w:lastRow="0" w:firstColumn="1" w:lastColumn="0" w:noHBand="0" w:noVBand="1"/>
      </w:tblPr>
      <w:tblGrid>
        <w:gridCol w:w="1135"/>
        <w:gridCol w:w="6078"/>
        <w:gridCol w:w="246"/>
      </w:tblGrid>
      <w:tr w:rsidR="008D4DD3" w:rsidRPr="003958C8" w14:paraId="0997D78F" w14:textId="77777777" w:rsidTr="008D4DD3">
        <w:trPr>
          <w:cnfStyle w:val="100000000000" w:firstRow="1" w:lastRow="0" w:firstColumn="0" w:lastColumn="0" w:oddVBand="0" w:evenVBand="0" w:oddHBand="0" w:evenHBand="0" w:firstRowFirstColumn="0" w:firstRowLastColumn="0" w:lastRowFirstColumn="0" w:lastRowLastColumn="0"/>
          <w:trHeight w:val="378"/>
        </w:trPr>
        <w:tc>
          <w:tcPr>
            <w:tcW w:w="1135" w:type="dxa"/>
            <w:tcBorders>
              <w:bottom w:val="single" w:sz="4" w:space="0" w:color="000000" w:themeColor="text1"/>
            </w:tcBorders>
          </w:tcPr>
          <w:p w14:paraId="69B54CE3" w14:textId="77777777" w:rsidR="008D4DD3" w:rsidRPr="003958C8" w:rsidRDefault="008D4DD3" w:rsidP="00C519D8">
            <w:pPr>
              <w:rPr>
                <w:rFonts w:asciiTheme="minorHAnsi" w:hAnsiTheme="minorHAnsi"/>
                <w:szCs w:val="22"/>
              </w:rPr>
            </w:pPr>
            <w:r>
              <w:rPr>
                <w:rFonts w:asciiTheme="minorHAnsi" w:hAnsiTheme="minorHAnsi"/>
                <w:szCs w:val="22"/>
              </w:rPr>
              <w:t>Value</w:t>
            </w:r>
          </w:p>
        </w:tc>
        <w:tc>
          <w:tcPr>
            <w:tcW w:w="6078" w:type="dxa"/>
            <w:tcBorders>
              <w:bottom w:val="single" w:sz="4" w:space="0" w:color="000000" w:themeColor="text1"/>
            </w:tcBorders>
          </w:tcPr>
          <w:p w14:paraId="6B538039" w14:textId="77777777" w:rsidR="008D4DD3" w:rsidRPr="003958C8" w:rsidRDefault="008D4DD3" w:rsidP="00C519D8">
            <w:pPr>
              <w:rPr>
                <w:rFonts w:asciiTheme="minorHAnsi" w:hAnsiTheme="minorHAnsi"/>
                <w:szCs w:val="22"/>
              </w:rPr>
            </w:pPr>
            <w:r>
              <w:rPr>
                <w:rFonts w:asciiTheme="minorHAnsi" w:hAnsiTheme="minorHAnsi"/>
                <w:szCs w:val="22"/>
              </w:rPr>
              <w:t>Description</w:t>
            </w:r>
          </w:p>
        </w:tc>
        <w:tc>
          <w:tcPr>
            <w:tcW w:w="246" w:type="dxa"/>
            <w:tcBorders>
              <w:bottom w:val="single" w:sz="4" w:space="0" w:color="000000" w:themeColor="text1"/>
            </w:tcBorders>
          </w:tcPr>
          <w:p w14:paraId="7D6AE9CA" w14:textId="77777777" w:rsidR="008D4DD3" w:rsidRPr="003958C8" w:rsidRDefault="008D4DD3" w:rsidP="00C519D8">
            <w:pPr>
              <w:rPr>
                <w:rFonts w:asciiTheme="minorHAnsi" w:hAnsiTheme="minorHAnsi"/>
                <w:szCs w:val="22"/>
              </w:rPr>
            </w:pPr>
          </w:p>
        </w:tc>
      </w:tr>
      <w:tr w:rsidR="008D4DD3" w:rsidRPr="003958C8" w14:paraId="3F9AD6EB" w14:textId="77777777" w:rsidTr="008D4DD3">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1352F17" w14:textId="77777777" w:rsidR="008D4DD3" w:rsidRPr="008D4DD3" w:rsidRDefault="008D4DD3" w:rsidP="00C519D8">
            <w:pPr>
              <w:rPr>
                <w:rFonts w:asciiTheme="minorHAnsi" w:hAnsiTheme="minorHAnsi"/>
                <w:szCs w:val="22"/>
              </w:rPr>
            </w:pPr>
            <w:r w:rsidRPr="008D4DD3">
              <w:rPr>
                <w:rFonts w:asciiTheme="minorHAnsi" w:hAnsiTheme="minorHAnsi"/>
                <w:szCs w:val="22"/>
              </w:rPr>
              <w:t>3</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C4A4B" w14:textId="77777777" w:rsidR="008D4DD3" w:rsidRPr="008D4DD3" w:rsidRDefault="008D4DD3" w:rsidP="008D4DD3">
            <w:pPr>
              <w:rPr>
                <w:rFonts w:asciiTheme="minorHAnsi" w:hAnsiTheme="minorHAnsi"/>
                <w:szCs w:val="22"/>
              </w:rPr>
            </w:pPr>
            <w:r w:rsidRPr="008D4DD3">
              <w:rPr>
                <w:rFonts w:asciiTheme="minorHAnsi" w:hAnsiTheme="minorHAnsi"/>
                <w:szCs w:val="22"/>
              </w:rPr>
              <w:t>Highest– action required as a precursor to other tasks</w:t>
            </w:r>
          </w:p>
        </w:tc>
      </w:tr>
      <w:tr w:rsidR="008D4DD3" w:rsidRPr="003958C8" w14:paraId="1C006C92" w14:textId="77777777" w:rsidTr="008D4DD3">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233CDA3" w14:textId="77777777" w:rsidR="008D4DD3" w:rsidRPr="008D4DD3" w:rsidRDefault="008D4DD3" w:rsidP="00C519D8">
            <w:pPr>
              <w:rPr>
                <w:rFonts w:asciiTheme="minorHAnsi" w:hAnsiTheme="minorHAnsi"/>
              </w:rPr>
            </w:pPr>
            <w:r w:rsidRPr="008D4DD3">
              <w:rPr>
                <w:rFonts w:asciiTheme="minorHAnsi" w:hAnsiTheme="minorHAnsi"/>
              </w:rPr>
              <w:t>2</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4BF02" w14:textId="77777777" w:rsidR="008D4DD3" w:rsidRPr="008D4DD3" w:rsidRDefault="008D4DD3" w:rsidP="00C519D8">
            <w:pPr>
              <w:rPr>
                <w:rFonts w:asciiTheme="minorHAnsi" w:hAnsiTheme="minorHAnsi"/>
              </w:rPr>
            </w:pPr>
            <w:r w:rsidRPr="008D4DD3">
              <w:rPr>
                <w:rFonts w:asciiTheme="minorHAnsi" w:hAnsiTheme="minorHAnsi"/>
              </w:rPr>
              <w:t>Medium – action required as part of wider work</w:t>
            </w:r>
          </w:p>
        </w:tc>
      </w:tr>
      <w:tr w:rsidR="008D4DD3" w:rsidRPr="003958C8" w14:paraId="7FCEF4F5" w14:textId="77777777" w:rsidTr="008D4DD3">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751E365" w14:textId="77777777" w:rsidR="008D4DD3" w:rsidRPr="008D4DD3" w:rsidRDefault="008D4DD3" w:rsidP="00C519D8">
            <w:pPr>
              <w:rPr>
                <w:rFonts w:asciiTheme="minorHAnsi" w:hAnsiTheme="minorHAnsi"/>
              </w:rPr>
            </w:pPr>
            <w:r w:rsidRPr="008D4DD3">
              <w:rPr>
                <w:rFonts w:asciiTheme="minorHAnsi" w:hAnsiTheme="minorHAnsi"/>
              </w:rPr>
              <w:t>1</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D8908" w14:textId="77777777" w:rsidR="008D4DD3" w:rsidRPr="008D4DD3" w:rsidRDefault="008D4DD3" w:rsidP="00C519D8">
            <w:pPr>
              <w:rPr>
                <w:rFonts w:asciiTheme="minorHAnsi" w:hAnsiTheme="minorHAnsi"/>
              </w:rPr>
            </w:pPr>
            <w:r w:rsidRPr="008D4DD3">
              <w:rPr>
                <w:rFonts w:asciiTheme="minorHAnsi" w:hAnsiTheme="minorHAnsi"/>
              </w:rPr>
              <w:t xml:space="preserve">Lowest – action required </w:t>
            </w:r>
            <w:r>
              <w:rPr>
                <w:rFonts w:asciiTheme="minorHAnsi" w:hAnsiTheme="minorHAnsi"/>
              </w:rPr>
              <w:t>once others have been completed</w:t>
            </w:r>
          </w:p>
        </w:tc>
      </w:tr>
    </w:tbl>
    <w:p w14:paraId="4198615A" w14:textId="77777777" w:rsidR="008D4DD3" w:rsidRDefault="008D4DD3" w:rsidP="00343E17">
      <w:pPr>
        <w:spacing w:before="240"/>
        <w:jc w:val="both"/>
        <w:rPr>
          <w:b/>
        </w:rPr>
      </w:pPr>
      <w:r w:rsidRPr="008D4DD3">
        <w:rPr>
          <w:b/>
        </w:rPr>
        <w:t>Guide</w:t>
      </w:r>
      <w:r>
        <w:rPr>
          <w:b/>
        </w:rPr>
        <w:t xml:space="preserve"> to autonomy levels (mandatory tasks only)</w:t>
      </w:r>
    </w:p>
    <w:tbl>
      <w:tblPr>
        <w:tblStyle w:val="HMPPSTable"/>
        <w:tblW w:w="7459" w:type="dxa"/>
        <w:tblInd w:w="-289" w:type="dxa"/>
        <w:tblLook w:val="04A0" w:firstRow="1" w:lastRow="0" w:firstColumn="1" w:lastColumn="0" w:noHBand="0" w:noVBand="1"/>
      </w:tblPr>
      <w:tblGrid>
        <w:gridCol w:w="1135"/>
        <w:gridCol w:w="6078"/>
        <w:gridCol w:w="246"/>
      </w:tblGrid>
      <w:tr w:rsidR="008D4DD3" w:rsidRPr="003958C8" w14:paraId="165A646E" w14:textId="77777777" w:rsidTr="00C519D8">
        <w:trPr>
          <w:cnfStyle w:val="100000000000" w:firstRow="1" w:lastRow="0" w:firstColumn="0" w:lastColumn="0" w:oddVBand="0" w:evenVBand="0" w:oddHBand="0" w:evenHBand="0" w:firstRowFirstColumn="0" w:firstRowLastColumn="0" w:lastRowFirstColumn="0" w:lastRowLastColumn="0"/>
          <w:trHeight w:val="378"/>
        </w:trPr>
        <w:tc>
          <w:tcPr>
            <w:tcW w:w="1135" w:type="dxa"/>
            <w:tcBorders>
              <w:bottom w:val="single" w:sz="4" w:space="0" w:color="000000" w:themeColor="text1"/>
            </w:tcBorders>
          </w:tcPr>
          <w:p w14:paraId="0DDB8766" w14:textId="77777777" w:rsidR="008D4DD3" w:rsidRPr="003958C8" w:rsidRDefault="008D4DD3" w:rsidP="00C519D8">
            <w:pPr>
              <w:rPr>
                <w:rFonts w:asciiTheme="minorHAnsi" w:hAnsiTheme="minorHAnsi"/>
                <w:szCs w:val="22"/>
              </w:rPr>
            </w:pPr>
            <w:r>
              <w:rPr>
                <w:rFonts w:asciiTheme="minorHAnsi" w:hAnsiTheme="minorHAnsi"/>
                <w:szCs w:val="22"/>
              </w:rPr>
              <w:t>Value</w:t>
            </w:r>
          </w:p>
        </w:tc>
        <w:tc>
          <w:tcPr>
            <w:tcW w:w="6078" w:type="dxa"/>
            <w:tcBorders>
              <w:bottom w:val="single" w:sz="4" w:space="0" w:color="000000" w:themeColor="text1"/>
            </w:tcBorders>
          </w:tcPr>
          <w:p w14:paraId="39E61565" w14:textId="77777777" w:rsidR="008D4DD3" w:rsidRPr="003958C8" w:rsidRDefault="008D4DD3" w:rsidP="00C519D8">
            <w:pPr>
              <w:rPr>
                <w:rFonts w:asciiTheme="minorHAnsi" w:hAnsiTheme="minorHAnsi"/>
                <w:szCs w:val="22"/>
              </w:rPr>
            </w:pPr>
            <w:r>
              <w:rPr>
                <w:rFonts w:asciiTheme="minorHAnsi" w:hAnsiTheme="minorHAnsi"/>
                <w:szCs w:val="22"/>
              </w:rPr>
              <w:t>Description</w:t>
            </w:r>
          </w:p>
        </w:tc>
        <w:tc>
          <w:tcPr>
            <w:tcW w:w="246" w:type="dxa"/>
            <w:tcBorders>
              <w:bottom w:val="single" w:sz="4" w:space="0" w:color="000000" w:themeColor="text1"/>
            </w:tcBorders>
          </w:tcPr>
          <w:p w14:paraId="4ACF8627" w14:textId="77777777" w:rsidR="008D4DD3" w:rsidRPr="003958C8" w:rsidRDefault="008D4DD3" w:rsidP="00C519D8">
            <w:pPr>
              <w:rPr>
                <w:rFonts w:asciiTheme="minorHAnsi" w:hAnsiTheme="minorHAnsi"/>
                <w:szCs w:val="22"/>
              </w:rPr>
            </w:pPr>
          </w:p>
        </w:tc>
      </w:tr>
      <w:tr w:rsidR="008D4DD3" w:rsidRPr="008D4DD3" w14:paraId="5D2F279A" w14:textId="77777777" w:rsidTr="00C519D8">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4CB96C5" w14:textId="77777777" w:rsidR="008D4DD3" w:rsidRPr="008D4DD3" w:rsidRDefault="008D4DD3" w:rsidP="00C519D8">
            <w:pPr>
              <w:rPr>
                <w:rFonts w:asciiTheme="minorHAnsi" w:hAnsiTheme="minorHAnsi"/>
                <w:szCs w:val="22"/>
              </w:rPr>
            </w:pPr>
            <w:r>
              <w:rPr>
                <w:rFonts w:asciiTheme="minorHAnsi" w:hAnsiTheme="minorHAnsi"/>
                <w:szCs w:val="22"/>
              </w:rPr>
              <w:t>Total</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3CFFF" w14:textId="77777777" w:rsidR="008D4DD3" w:rsidRPr="008D4DD3" w:rsidRDefault="008D4DD3" w:rsidP="008D4DD3">
            <w:pPr>
              <w:rPr>
                <w:rFonts w:asciiTheme="minorHAnsi" w:hAnsiTheme="minorHAnsi"/>
                <w:szCs w:val="22"/>
              </w:rPr>
            </w:pPr>
            <w:r>
              <w:rPr>
                <w:rFonts w:asciiTheme="minorHAnsi" w:hAnsiTheme="minorHAnsi"/>
                <w:szCs w:val="22"/>
              </w:rPr>
              <w:t>Establishment has total autonomy to determine the design of the product that satisfies the baseline</w:t>
            </w:r>
          </w:p>
        </w:tc>
      </w:tr>
      <w:tr w:rsidR="008D4DD3" w:rsidRPr="008D4DD3" w14:paraId="1F7A51A2" w14:textId="77777777" w:rsidTr="00C519D8">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50F2119" w14:textId="77777777" w:rsidR="008D4DD3" w:rsidRPr="008D4DD3" w:rsidRDefault="008D4DD3" w:rsidP="00C519D8">
            <w:pPr>
              <w:rPr>
                <w:rFonts w:asciiTheme="minorHAnsi" w:hAnsiTheme="minorHAnsi"/>
              </w:rPr>
            </w:pPr>
            <w:r>
              <w:rPr>
                <w:rFonts w:asciiTheme="minorHAnsi" w:hAnsiTheme="minorHAnsi"/>
              </w:rPr>
              <w:t>Partial</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5BA56" w14:textId="77777777" w:rsidR="008D4DD3" w:rsidRPr="008D4DD3" w:rsidRDefault="008D4DD3" w:rsidP="00C519D8">
            <w:pPr>
              <w:rPr>
                <w:rFonts w:asciiTheme="minorHAnsi" w:hAnsiTheme="minorHAnsi"/>
              </w:rPr>
            </w:pPr>
            <w:r>
              <w:rPr>
                <w:rFonts w:asciiTheme="minorHAnsi" w:hAnsiTheme="minorHAnsi"/>
              </w:rPr>
              <w:t>Establishment has partial autonomy – the ability to choose from pre-determined delivery options (which are specified)</w:t>
            </w:r>
          </w:p>
        </w:tc>
      </w:tr>
      <w:tr w:rsidR="008D4DD3" w:rsidRPr="008D4DD3" w14:paraId="1BCAD5E8" w14:textId="77777777" w:rsidTr="00C519D8">
        <w:trPr>
          <w:trHeight w:val="313"/>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29A65E8" w14:textId="77777777" w:rsidR="008D4DD3" w:rsidRPr="008D4DD3" w:rsidRDefault="008D4DD3" w:rsidP="00C519D8">
            <w:pPr>
              <w:rPr>
                <w:rFonts w:asciiTheme="minorHAnsi" w:hAnsiTheme="minorHAnsi"/>
              </w:rPr>
            </w:pPr>
            <w:r>
              <w:rPr>
                <w:rFonts w:asciiTheme="minorHAnsi" w:hAnsiTheme="minorHAnsi"/>
              </w:rPr>
              <w:t>Limited</w:t>
            </w:r>
          </w:p>
        </w:tc>
        <w:tc>
          <w:tcPr>
            <w:tcW w:w="63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435A4" w14:textId="77777777" w:rsidR="008D4DD3" w:rsidRPr="008D4DD3" w:rsidRDefault="008D4DD3" w:rsidP="00C519D8">
            <w:pPr>
              <w:rPr>
                <w:rFonts w:asciiTheme="minorHAnsi" w:hAnsiTheme="minorHAnsi"/>
              </w:rPr>
            </w:pPr>
            <w:r>
              <w:rPr>
                <w:rFonts w:asciiTheme="minorHAnsi" w:hAnsiTheme="minorHAnsi"/>
              </w:rPr>
              <w:t>Establishment has limited autonomy and must deliver the product as stipulated</w:t>
            </w:r>
          </w:p>
        </w:tc>
      </w:tr>
    </w:tbl>
    <w:p w14:paraId="4F7CEC63" w14:textId="77777777" w:rsidR="00651F30" w:rsidRDefault="00651F30" w:rsidP="006928BB">
      <w:pPr>
        <w:spacing w:after="0" w:line="240" w:lineRule="auto"/>
        <w:jc w:val="both"/>
        <w:rPr>
          <w:b/>
          <w:sz w:val="28"/>
          <w:szCs w:val="28"/>
        </w:rPr>
        <w:sectPr w:rsidR="00651F30" w:rsidSect="00480FD8">
          <w:pgSz w:w="16838" w:h="11906" w:orient="landscape"/>
          <w:pgMar w:top="1440" w:right="1440" w:bottom="1440" w:left="1440" w:header="708" w:footer="708" w:gutter="0"/>
          <w:cols w:space="708"/>
          <w:docGrid w:linePitch="360"/>
        </w:sectPr>
      </w:pPr>
    </w:p>
    <w:p w14:paraId="06857A45" w14:textId="77777777" w:rsidR="0075300D" w:rsidRDefault="0075300D" w:rsidP="006928BB">
      <w:pPr>
        <w:spacing w:after="0" w:line="240" w:lineRule="auto"/>
        <w:jc w:val="both"/>
        <w:rPr>
          <w:b/>
          <w:sz w:val="28"/>
          <w:szCs w:val="28"/>
        </w:rPr>
      </w:pPr>
      <w:r w:rsidRPr="00BC5317">
        <w:rPr>
          <w:b/>
          <w:sz w:val="28"/>
          <w:szCs w:val="28"/>
        </w:rPr>
        <w:lastRenderedPageBreak/>
        <w:t>Exceptional Delivery Regime model:  ROTL for external work placements</w:t>
      </w:r>
    </w:p>
    <w:p w14:paraId="49B0568C" w14:textId="77777777" w:rsidR="0075300D" w:rsidRPr="008D4DD3" w:rsidRDefault="0075300D" w:rsidP="008D4DD3">
      <w:pPr>
        <w:spacing w:after="0" w:line="240" w:lineRule="auto"/>
        <w:jc w:val="both"/>
        <w:rPr>
          <w:b/>
        </w:rPr>
      </w:pPr>
    </w:p>
    <w:tbl>
      <w:tblPr>
        <w:tblStyle w:val="TableGrid"/>
        <w:tblW w:w="0" w:type="auto"/>
        <w:tblInd w:w="-289" w:type="dxa"/>
        <w:shd w:val="clear" w:color="auto" w:fill="7F4098"/>
        <w:tblLook w:val="04A0" w:firstRow="1" w:lastRow="0" w:firstColumn="1" w:lastColumn="0" w:noHBand="0" w:noVBand="1"/>
      </w:tblPr>
      <w:tblGrid>
        <w:gridCol w:w="1560"/>
        <w:gridCol w:w="5387"/>
        <w:gridCol w:w="1156"/>
        <w:gridCol w:w="1820"/>
        <w:gridCol w:w="4314"/>
      </w:tblGrid>
      <w:tr w:rsidR="00BC5317" w14:paraId="65909FF5" w14:textId="77777777" w:rsidTr="006928BB">
        <w:trPr>
          <w:trHeight w:val="819"/>
        </w:trPr>
        <w:tc>
          <w:tcPr>
            <w:tcW w:w="1560" w:type="dxa"/>
            <w:tcBorders>
              <w:bottom w:val="single" w:sz="4" w:space="0" w:color="auto"/>
            </w:tcBorders>
            <w:shd w:val="clear" w:color="auto" w:fill="7F4098"/>
          </w:tcPr>
          <w:p w14:paraId="0CF51C84" w14:textId="77777777" w:rsidR="00C772E4" w:rsidRPr="00BC5317" w:rsidRDefault="00C772E4" w:rsidP="0030699B">
            <w:pPr>
              <w:jc w:val="both"/>
              <w:rPr>
                <w:b/>
                <w:color w:val="FFFFFF" w:themeColor="background1"/>
              </w:rPr>
            </w:pPr>
            <w:r w:rsidRPr="00BC5317">
              <w:rPr>
                <w:b/>
                <w:color w:val="FFFFFF" w:themeColor="background1"/>
              </w:rPr>
              <w:t>Area/Process</w:t>
            </w:r>
          </w:p>
        </w:tc>
        <w:tc>
          <w:tcPr>
            <w:tcW w:w="5387" w:type="dxa"/>
            <w:tcBorders>
              <w:bottom w:val="single" w:sz="4" w:space="0" w:color="auto"/>
            </w:tcBorders>
            <w:shd w:val="clear" w:color="auto" w:fill="7F4098"/>
          </w:tcPr>
          <w:p w14:paraId="3253BDC2" w14:textId="77777777" w:rsidR="00C772E4" w:rsidRPr="00BC5317" w:rsidRDefault="00C772E4" w:rsidP="0030699B">
            <w:pPr>
              <w:jc w:val="both"/>
              <w:rPr>
                <w:b/>
                <w:color w:val="FFFFFF" w:themeColor="background1"/>
              </w:rPr>
            </w:pPr>
            <w:r w:rsidRPr="00BC5317">
              <w:rPr>
                <w:b/>
                <w:color w:val="FFFFFF" w:themeColor="background1"/>
              </w:rPr>
              <w:t>Baseline</w:t>
            </w:r>
          </w:p>
        </w:tc>
        <w:tc>
          <w:tcPr>
            <w:tcW w:w="1156" w:type="dxa"/>
            <w:tcBorders>
              <w:bottom w:val="single" w:sz="4" w:space="0" w:color="auto"/>
            </w:tcBorders>
            <w:shd w:val="clear" w:color="auto" w:fill="7F4098"/>
          </w:tcPr>
          <w:p w14:paraId="51A39218" w14:textId="77777777" w:rsidR="00C772E4" w:rsidRPr="00BC5317" w:rsidRDefault="00C772E4" w:rsidP="0030699B">
            <w:pPr>
              <w:jc w:val="both"/>
              <w:rPr>
                <w:b/>
                <w:color w:val="FFFFFF" w:themeColor="background1"/>
              </w:rPr>
            </w:pPr>
            <w:r w:rsidRPr="00BC5317">
              <w:rPr>
                <w:b/>
                <w:color w:val="FFFFFF" w:themeColor="background1"/>
              </w:rPr>
              <w:t>Weighting (1,2,3)</w:t>
            </w:r>
          </w:p>
        </w:tc>
        <w:tc>
          <w:tcPr>
            <w:tcW w:w="1820" w:type="dxa"/>
            <w:tcBorders>
              <w:bottom w:val="single" w:sz="4" w:space="0" w:color="auto"/>
            </w:tcBorders>
            <w:shd w:val="clear" w:color="auto" w:fill="7F4098"/>
          </w:tcPr>
          <w:p w14:paraId="0B287BAA" w14:textId="77777777" w:rsidR="00C772E4" w:rsidRPr="00BC5317" w:rsidRDefault="00C772E4" w:rsidP="00CF79F3">
            <w:pPr>
              <w:rPr>
                <w:b/>
                <w:color w:val="FFFFFF" w:themeColor="background1"/>
              </w:rPr>
            </w:pPr>
            <w:r w:rsidRPr="00BC5317">
              <w:rPr>
                <w:b/>
                <w:color w:val="FFFFFF" w:themeColor="background1"/>
              </w:rPr>
              <w:t>Autonomy Level</w:t>
            </w:r>
          </w:p>
          <w:p w14:paraId="2B1CCD2D" w14:textId="77777777" w:rsidR="00C772E4" w:rsidRPr="00BC5317" w:rsidRDefault="00C772E4" w:rsidP="00CF79F3">
            <w:pPr>
              <w:rPr>
                <w:b/>
                <w:color w:val="FFFFFF" w:themeColor="background1"/>
              </w:rPr>
            </w:pPr>
            <w:r w:rsidRPr="00BC5317">
              <w:rPr>
                <w:b/>
                <w:color w:val="FFFFFF" w:themeColor="background1"/>
              </w:rPr>
              <w:t>(total, partial, limited)</w:t>
            </w:r>
          </w:p>
        </w:tc>
        <w:tc>
          <w:tcPr>
            <w:tcW w:w="4314" w:type="dxa"/>
            <w:tcBorders>
              <w:bottom w:val="single" w:sz="4" w:space="0" w:color="auto"/>
            </w:tcBorders>
            <w:shd w:val="clear" w:color="auto" w:fill="7F4098"/>
          </w:tcPr>
          <w:p w14:paraId="0AF7F577" w14:textId="77777777" w:rsidR="00C772E4" w:rsidRPr="00BC5317" w:rsidRDefault="00C772E4" w:rsidP="0030699B">
            <w:pPr>
              <w:jc w:val="both"/>
              <w:rPr>
                <w:b/>
                <w:color w:val="FFFFFF" w:themeColor="background1"/>
              </w:rPr>
            </w:pPr>
            <w:r w:rsidRPr="00BC5317">
              <w:rPr>
                <w:b/>
                <w:color w:val="FFFFFF" w:themeColor="background1"/>
              </w:rPr>
              <w:t>Comments</w:t>
            </w:r>
            <w:r w:rsidR="00CF79F3">
              <w:rPr>
                <w:b/>
                <w:color w:val="FFFFFF" w:themeColor="background1"/>
              </w:rPr>
              <w:t>/Sources of information</w:t>
            </w:r>
          </w:p>
        </w:tc>
      </w:tr>
      <w:tr w:rsidR="00BC5317" w14:paraId="0D4D6083" w14:textId="77777777" w:rsidTr="0075300D">
        <w:tc>
          <w:tcPr>
            <w:tcW w:w="14237" w:type="dxa"/>
            <w:gridSpan w:val="5"/>
            <w:tcBorders>
              <w:bottom w:val="single" w:sz="4" w:space="0" w:color="auto"/>
            </w:tcBorders>
            <w:shd w:val="clear" w:color="auto" w:fill="BFBFBF" w:themeFill="background1" w:themeFillShade="BF"/>
          </w:tcPr>
          <w:p w14:paraId="78557003" w14:textId="77777777" w:rsidR="00BC5317" w:rsidRDefault="00BC5317" w:rsidP="0030699B">
            <w:pPr>
              <w:jc w:val="both"/>
              <w:rPr>
                <w:b/>
              </w:rPr>
            </w:pPr>
            <w:r>
              <w:rPr>
                <w:b/>
              </w:rPr>
              <w:t>Mandatory actions</w:t>
            </w:r>
          </w:p>
          <w:p w14:paraId="00B72685" w14:textId="77777777" w:rsidR="00BC5317" w:rsidRDefault="00BC5317" w:rsidP="0030699B">
            <w:pPr>
              <w:jc w:val="both"/>
              <w:rPr>
                <w:b/>
              </w:rPr>
            </w:pPr>
          </w:p>
        </w:tc>
      </w:tr>
      <w:tr w:rsidR="006928BB" w14:paraId="5A80F65A" w14:textId="77777777" w:rsidTr="006928BB">
        <w:tc>
          <w:tcPr>
            <w:tcW w:w="1560" w:type="dxa"/>
            <w:vMerge w:val="restart"/>
            <w:shd w:val="clear" w:color="auto" w:fill="DBC1E5"/>
          </w:tcPr>
          <w:p w14:paraId="6C7C2ACD" w14:textId="77777777" w:rsidR="006928BB" w:rsidRDefault="006928BB" w:rsidP="00BC5317">
            <w:pPr>
              <w:jc w:val="both"/>
              <w:rPr>
                <w:b/>
              </w:rPr>
            </w:pPr>
            <w:r>
              <w:rPr>
                <w:b/>
              </w:rPr>
              <w:t>1 Preparation</w:t>
            </w:r>
          </w:p>
        </w:tc>
        <w:tc>
          <w:tcPr>
            <w:tcW w:w="5387" w:type="dxa"/>
            <w:shd w:val="clear" w:color="auto" w:fill="DBC1E5"/>
          </w:tcPr>
          <w:p w14:paraId="7282DC10" w14:textId="77777777" w:rsidR="006928BB" w:rsidRPr="00BC5317" w:rsidRDefault="006928BB" w:rsidP="0075300D">
            <w:bookmarkStart w:id="1" w:name="_Hlk43128258"/>
            <w:r w:rsidRPr="0075300D">
              <w:rPr>
                <w:b/>
              </w:rPr>
              <w:t>1.1</w:t>
            </w:r>
            <w:r w:rsidRPr="00BC5317">
              <w:t xml:space="preserve"> </w:t>
            </w:r>
            <w:r w:rsidR="00564F74">
              <w:t>Create a plan for reinstating outside work in a phased way</w:t>
            </w:r>
            <w:bookmarkEnd w:id="1"/>
            <w:r w:rsidR="00430551">
              <w:t xml:space="preserve"> (including where workplace ROTL is undertaken on prison premises) </w:t>
            </w:r>
          </w:p>
        </w:tc>
        <w:tc>
          <w:tcPr>
            <w:tcW w:w="1156" w:type="dxa"/>
            <w:shd w:val="clear" w:color="auto" w:fill="DBC1E5"/>
          </w:tcPr>
          <w:p w14:paraId="21415577" w14:textId="77777777" w:rsidR="006928BB" w:rsidRDefault="006928BB" w:rsidP="00CF79F3">
            <w:pPr>
              <w:jc w:val="center"/>
              <w:rPr>
                <w:b/>
              </w:rPr>
            </w:pPr>
            <w:r>
              <w:rPr>
                <w:b/>
              </w:rPr>
              <w:t>3</w:t>
            </w:r>
          </w:p>
          <w:p w14:paraId="62786F40" w14:textId="77777777" w:rsidR="006928BB" w:rsidRPr="008D4DD3" w:rsidRDefault="006928BB" w:rsidP="00CF79F3">
            <w:pPr>
              <w:jc w:val="center"/>
            </w:pPr>
          </w:p>
        </w:tc>
        <w:tc>
          <w:tcPr>
            <w:tcW w:w="1820" w:type="dxa"/>
            <w:shd w:val="clear" w:color="auto" w:fill="DBC1E5"/>
          </w:tcPr>
          <w:p w14:paraId="4150CCDB" w14:textId="77777777" w:rsidR="006928BB" w:rsidRDefault="006928BB" w:rsidP="00CF79F3">
            <w:pPr>
              <w:jc w:val="center"/>
              <w:rPr>
                <w:b/>
              </w:rPr>
            </w:pPr>
            <w:r>
              <w:rPr>
                <w:b/>
              </w:rPr>
              <w:t>Total</w:t>
            </w:r>
          </w:p>
          <w:p w14:paraId="53CFC8E5" w14:textId="77777777" w:rsidR="006928BB" w:rsidRPr="00BC5317" w:rsidRDefault="006928BB" w:rsidP="00CF79F3">
            <w:pPr>
              <w:jc w:val="center"/>
            </w:pPr>
          </w:p>
        </w:tc>
        <w:tc>
          <w:tcPr>
            <w:tcW w:w="4314" w:type="dxa"/>
            <w:shd w:val="clear" w:color="auto" w:fill="DBC1E5"/>
          </w:tcPr>
          <w:p w14:paraId="655AE323" w14:textId="77777777" w:rsidR="006928BB" w:rsidRDefault="006928BB" w:rsidP="00DA6105">
            <w:r>
              <w:t>PSI governing ROTL policy</w:t>
            </w:r>
          </w:p>
          <w:p w14:paraId="6AC8AFC5" w14:textId="77777777" w:rsidR="001A2CE1" w:rsidRDefault="00B56D7E" w:rsidP="00DA6105">
            <w:hyperlink r:id="rId15" w:history="1">
              <w:r w:rsidR="001A2CE1" w:rsidRPr="000955C5">
                <w:rPr>
                  <w:rStyle w:val="Hyperlink"/>
                  <w:rFonts w:cs="Arial"/>
                </w:rPr>
                <w:t>National Framework for Prison Regimes and Services</w:t>
              </w:r>
            </w:hyperlink>
          </w:p>
          <w:p w14:paraId="300C14A6" w14:textId="77777777" w:rsidR="00303A2C" w:rsidRPr="00CF79F3" w:rsidRDefault="00303A2C" w:rsidP="00DA6105">
            <w:r>
              <w:t>Annex A –</w:t>
            </w:r>
            <w:r w:rsidR="00343E17">
              <w:t xml:space="preserve"> Further guidance</w:t>
            </w:r>
          </w:p>
        </w:tc>
      </w:tr>
      <w:tr w:rsidR="006928BB" w14:paraId="55B4D9CB" w14:textId="77777777" w:rsidTr="006928BB">
        <w:tc>
          <w:tcPr>
            <w:tcW w:w="1560" w:type="dxa"/>
            <w:vMerge/>
            <w:shd w:val="clear" w:color="auto" w:fill="DBC1E5"/>
          </w:tcPr>
          <w:p w14:paraId="2077B091" w14:textId="77777777" w:rsidR="006928BB" w:rsidRDefault="006928BB" w:rsidP="00BC5317">
            <w:pPr>
              <w:jc w:val="both"/>
              <w:rPr>
                <w:b/>
              </w:rPr>
            </w:pPr>
          </w:p>
        </w:tc>
        <w:tc>
          <w:tcPr>
            <w:tcW w:w="5387" w:type="dxa"/>
            <w:shd w:val="clear" w:color="auto" w:fill="DBC1E5"/>
          </w:tcPr>
          <w:p w14:paraId="2ABD644C" w14:textId="77777777" w:rsidR="006928BB" w:rsidRPr="0075300D" w:rsidRDefault="006928BB" w:rsidP="002114FB">
            <w:r>
              <w:rPr>
                <w:b/>
              </w:rPr>
              <w:t xml:space="preserve">1.2 </w:t>
            </w:r>
            <w:r>
              <w:t>Develop a local communications strategy for briefing prisoners and staff throughout the process</w:t>
            </w:r>
          </w:p>
        </w:tc>
        <w:tc>
          <w:tcPr>
            <w:tcW w:w="1156" w:type="dxa"/>
            <w:shd w:val="clear" w:color="auto" w:fill="DBC1E5"/>
          </w:tcPr>
          <w:p w14:paraId="3EBD853C" w14:textId="77777777" w:rsidR="006928BB" w:rsidRDefault="00902DF8" w:rsidP="00CF79F3">
            <w:pPr>
              <w:jc w:val="center"/>
              <w:rPr>
                <w:b/>
              </w:rPr>
            </w:pPr>
            <w:r>
              <w:rPr>
                <w:b/>
              </w:rPr>
              <w:t>2</w:t>
            </w:r>
          </w:p>
        </w:tc>
        <w:tc>
          <w:tcPr>
            <w:tcW w:w="1820" w:type="dxa"/>
            <w:shd w:val="clear" w:color="auto" w:fill="DBC1E5"/>
          </w:tcPr>
          <w:p w14:paraId="07AD2F88" w14:textId="77777777" w:rsidR="006928BB" w:rsidRDefault="006928BB" w:rsidP="00CF79F3">
            <w:pPr>
              <w:jc w:val="center"/>
              <w:rPr>
                <w:b/>
              </w:rPr>
            </w:pPr>
            <w:r>
              <w:rPr>
                <w:b/>
              </w:rPr>
              <w:t>Total</w:t>
            </w:r>
          </w:p>
        </w:tc>
        <w:tc>
          <w:tcPr>
            <w:tcW w:w="4314" w:type="dxa"/>
            <w:shd w:val="clear" w:color="auto" w:fill="DBC1E5"/>
          </w:tcPr>
          <w:p w14:paraId="1A053AFE" w14:textId="77777777" w:rsidR="006928BB" w:rsidRPr="00CF79F3" w:rsidRDefault="00CE0C00" w:rsidP="00DA6105">
            <w:r>
              <w:t>Annex A – Further guidance</w:t>
            </w:r>
          </w:p>
        </w:tc>
      </w:tr>
      <w:tr w:rsidR="006928BB" w14:paraId="1C77AB69" w14:textId="77777777" w:rsidTr="006928BB">
        <w:tc>
          <w:tcPr>
            <w:tcW w:w="1560" w:type="dxa"/>
            <w:vMerge/>
            <w:shd w:val="clear" w:color="auto" w:fill="DBC1E5"/>
          </w:tcPr>
          <w:p w14:paraId="16143171" w14:textId="77777777" w:rsidR="006928BB" w:rsidRDefault="006928BB" w:rsidP="00BC5317">
            <w:pPr>
              <w:jc w:val="both"/>
              <w:rPr>
                <w:b/>
              </w:rPr>
            </w:pPr>
            <w:bookmarkStart w:id="2" w:name="_Hlk43128248"/>
          </w:p>
        </w:tc>
        <w:tc>
          <w:tcPr>
            <w:tcW w:w="5387" w:type="dxa"/>
            <w:shd w:val="clear" w:color="auto" w:fill="DBC1E5"/>
          </w:tcPr>
          <w:p w14:paraId="1FB976B9" w14:textId="77777777" w:rsidR="006928BB" w:rsidRPr="00BC5317" w:rsidRDefault="006928BB" w:rsidP="002114FB">
            <w:r w:rsidRPr="0075300D">
              <w:rPr>
                <w:b/>
              </w:rPr>
              <w:t>1.</w:t>
            </w:r>
            <w:r>
              <w:rPr>
                <w:b/>
              </w:rPr>
              <w:t>3</w:t>
            </w:r>
            <w:r>
              <w:t xml:space="preserve"> Design a local process for assessing the </w:t>
            </w:r>
            <w:r w:rsidR="0071265A">
              <w:t xml:space="preserve">effectiveness </w:t>
            </w:r>
            <w:r>
              <w:t xml:space="preserve">of each placement’s social distancing and COVID-19 controls to determine suitability for reinstatement </w:t>
            </w:r>
          </w:p>
        </w:tc>
        <w:tc>
          <w:tcPr>
            <w:tcW w:w="1156" w:type="dxa"/>
            <w:shd w:val="clear" w:color="auto" w:fill="DBC1E5"/>
          </w:tcPr>
          <w:p w14:paraId="290C534D" w14:textId="77777777" w:rsidR="006928BB" w:rsidRDefault="006928BB" w:rsidP="00CF79F3">
            <w:pPr>
              <w:jc w:val="center"/>
              <w:rPr>
                <w:b/>
              </w:rPr>
            </w:pPr>
            <w:r>
              <w:rPr>
                <w:b/>
              </w:rPr>
              <w:t>3</w:t>
            </w:r>
          </w:p>
        </w:tc>
        <w:tc>
          <w:tcPr>
            <w:tcW w:w="1820" w:type="dxa"/>
            <w:shd w:val="clear" w:color="auto" w:fill="DBC1E5"/>
          </w:tcPr>
          <w:p w14:paraId="58E47E5F" w14:textId="77777777" w:rsidR="006928BB" w:rsidRDefault="006928BB" w:rsidP="00CF79F3">
            <w:pPr>
              <w:jc w:val="center"/>
              <w:rPr>
                <w:b/>
              </w:rPr>
            </w:pPr>
            <w:r>
              <w:rPr>
                <w:b/>
              </w:rPr>
              <w:t>Total</w:t>
            </w:r>
          </w:p>
        </w:tc>
        <w:tc>
          <w:tcPr>
            <w:tcW w:w="4314" w:type="dxa"/>
            <w:shd w:val="clear" w:color="auto" w:fill="DBC1E5"/>
          </w:tcPr>
          <w:p w14:paraId="50D0F4B4" w14:textId="77777777" w:rsidR="006928BB" w:rsidRDefault="006928BB" w:rsidP="00DA6105">
            <w:r>
              <w:t>HMPPS Operational Guidance website contains information on social distancing</w:t>
            </w:r>
          </w:p>
          <w:p w14:paraId="7B487055" w14:textId="77777777" w:rsidR="00B032AE" w:rsidRDefault="00B032AE" w:rsidP="00DA6105">
            <w:r>
              <w:t>Welsh Government guidance on social distancing in Wales</w:t>
            </w:r>
          </w:p>
          <w:p w14:paraId="250A7001" w14:textId="77777777" w:rsidR="0059449D" w:rsidRPr="00CF79F3" w:rsidRDefault="0059449D" w:rsidP="00DA6105">
            <w:r>
              <w:t>Annex A – Further guidance</w:t>
            </w:r>
          </w:p>
        </w:tc>
      </w:tr>
      <w:tr w:rsidR="006928BB" w14:paraId="68817370" w14:textId="77777777" w:rsidTr="006928BB">
        <w:tc>
          <w:tcPr>
            <w:tcW w:w="1560" w:type="dxa"/>
            <w:vMerge/>
            <w:shd w:val="clear" w:color="auto" w:fill="DBC1E5"/>
          </w:tcPr>
          <w:p w14:paraId="35F794D7" w14:textId="77777777" w:rsidR="006928BB" w:rsidRDefault="006928BB" w:rsidP="00BC5317">
            <w:pPr>
              <w:jc w:val="both"/>
              <w:rPr>
                <w:b/>
              </w:rPr>
            </w:pPr>
            <w:bookmarkStart w:id="3" w:name="_Hlk43128269"/>
            <w:bookmarkEnd w:id="2"/>
          </w:p>
        </w:tc>
        <w:tc>
          <w:tcPr>
            <w:tcW w:w="5387" w:type="dxa"/>
            <w:shd w:val="clear" w:color="auto" w:fill="DBC1E5"/>
          </w:tcPr>
          <w:p w14:paraId="7615D0B2" w14:textId="77777777" w:rsidR="006928BB" w:rsidRPr="0075300D" w:rsidRDefault="006928BB" w:rsidP="002114FB">
            <w:r w:rsidRPr="0075300D">
              <w:rPr>
                <w:b/>
              </w:rPr>
              <w:t>1.</w:t>
            </w:r>
            <w:r>
              <w:rPr>
                <w:b/>
              </w:rPr>
              <w:t>4</w:t>
            </w:r>
            <w:r w:rsidRPr="0075300D">
              <w:rPr>
                <w:b/>
              </w:rPr>
              <w:t xml:space="preserve"> </w:t>
            </w:r>
            <w:r>
              <w:t>Design a sign-off process for approving each placement enabling it to re-commence</w:t>
            </w:r>
          </w:p>
        </w:tc>
        <w:tc>
          <w:tcPr>
            <w:tcW w:w="1156" w:type="dxa"/>
            <w:shd w:val="clear" w:color="auto" w:fill="DBC1E5"/>
          </w:tcPr>
          <w:p w14:paraId="3DF43FA4" w14:textId="77777777" w:rsidR="006928BB" w:rsidRDefault="006928BB" w:rsidP="00CF79F3">
            <w:pPr>
              <w:jc w:val="center"/>
              <w:rPr>
                <w:b/>
              </w:rPr>
            </w:pPr>
            <w:r>
              <w:rPr>
                <w:b/>
              </w:rPr>
              <w:t>2</w:t>
            </w:r>
          </w:p>
        </w:tc>
        <w:tc>
          <w:tcPr>
            <w:tcW w:w="1820" w:type="dxa"/>
            <w:shd w:val="clear" w:color="auto" w:fill="DBC1E5"/>
          </w:tcPr>
          <w:p w14:paraId="5E3A3D89" w14:textId="77777777" w:rsidR="006928BB" w:rsidRDefault="006928BB" w:rsidP="00CF79F3">
            <w:pPr>
              <w:jc w:val="center"/>
              <w:rPr>
                <w:b/>
              </w:rPr>
            </w:pPr>
            <w:r>
              <w:rPr>
                <w:b/>
              </w:rPr>
              <w:t>Total</w:t>
            </w:r>
          </w:p>
        </w:tc>
        <w:tc>
          <w:tcPr>
            <w:tcW w:w="4314" w:type="dxa"/>
            <w:shd w:val="clear" w:color="auto" w:fill="DBC1E5"/>
          </w:tcPr>
          <w:p w14:paraId="7B578B21" w14:textId="77777777" w:rsidR="006928BB" w:rsidRPr="00CF79F3" w:rsidRDefault="0059449D" w:rsidP="00DA6105">
            <w:r>
              <w:t>Annex A – Further guidance</w:t>
            </w:r>
          </w:p>
        </w:tc>
      </w:tr>
      <w:bookmarkEnd w:id="3"/>
      <w:tr w:rsidR="00564F74" w14:paraId="1BB8AD93" w14:textId="77777777" w:rsidTr="00111EA9">
        <w:trPr>
          <w:trHeight w:val="387"/>
        </w:trPr>
        <w:tc>
          <w:tcPr>
            <w:tcW w:w="1560" w:type="dxa"/>
            <w:vMerge/>
            <w:shd w:val="clear" w:color="auto" w:fill="DBC1E5"/>
          </w:tcPr>
          <w:p w14:paraId="493672AB" w14:textId="77777777" w:rsidR="00564F74" w:rsidRDefault="00564F74" w:rsidP="00BC5317">
            <w:pPr>
              <w:jc w:val="both"/>
              <w:rPr>
                <w:b/>
              </w:rPr>
            </w:pPr>
          </w:p>
        </w:tc>
        <w:tc>
          <w:tcPr>
            <w:tcW w:w="5387" w:type="dxa"/>
            <w:shd w:val="clear" w:color="auto" w:fill="DBC1E5"/>
          </w:tcPr>
          <w:p w14:paraId="48D9E1F0" w14:textId="77777777" w:rsidR="00564F74" w:rsidRDefault="00564F74" w:rsidP="00BC5317">
            <w:pPr>
              <w:jc w:val="both"/>
              <w:rPr>
                <w:b/>
              </w:rPr>
            </w:pPr>
            <w:r>
              <w:rPr>
                <w:b/>
              </w:rPr>
              <w:t xml:space="preserve">1.5 </w:t>
            </w:r>
            <w:r w:rsidRPr="005C50E4">
              <w:t xml:space="preserve">Contact employers to discuss reinstating placements </w:t>
            </w:r>
          </w:p>
        </w:tc>
        <w:tc>
          <w:tcPr>
            <w:tcW w:w="1156" w:type="dxa"/>
            <w:shd w:val="clear" w:color="auto" w:fill="DBC1E5"/>
          </w:tcPr>
          <w:p w14:paraId="69BD8987" w14:textId="77777777" w:rsidR="00564F74" w:rsidRDefault="00564F74" w:rsidP="00CF79F3">
            <w:pPr>
              <w:jc w:val="center"/>
              <w:rPr>
                <w:b/>
              </w:rPr>
            </w:pPr>
            <w:r>
              <w:rPr>
                <w:b/>
              </w:rPr>
              <w:t>3</w:t>
            </w:r>
          </w:p>
        </w:tc>
        <w:tc>
          <w:tcPr>
            <w:tcW w:w="1820" w:type="dxa"/>
            <w:shd w:val="clear" w:color="auto" w:fill="DBC1E5"/>
          </w:tcPr>
          <w:p w14:paraId="2751FBFA" w14:textId="77777777" w:rsidR="00564F74" w:rsidRDefault="00564F74" w:rsidP="00CF79F3">
            <w:pPr>
              <w:jc w:val="center"/>
              <w:rPr>
                <w:b/>
              </w:rPr>
            </w:pPr>
            <w:r>
              <w:rPr>
                <w:b/>
              </w:rPr>
              <w:t>Total</w:t>
            </w:r>
          </w:p>
        </w:tc>
        <w:tc>
          <w:tcPr>
            <w:tcW w:w="4314" w:type="dxa"/>
            <w:shd w:val="clear" w:color="auto" w:fill="DBC1E5"/>
          </w:tcPr>
          <w:p w14:paraId="0F3C69EF" w14:textId="77777777" w:rsidR="00564F74" w:rsidRPr="00CF79F3" w:rsidRDefault="00564F74" w:rsidP="00DA6105">
            <w:r>
              <w:t>Annex A – Further guidance</w:t>
            </w:r>
          </w:p>
        </w:tc>
      </w:tr>
      <w:tr w:rsidR="006928BB" w14:paraId="3CCE3E5F" w14:textId="77777777" w:rsidTr="006928BB">
        <w:tc>
          <w:tcPr>
            <w:tcW w:w="1560" w:type="dxa"/>
            <w:vMerge/>
            <w:shd w:val="clear" w:color="auto" w:fill="DBC1E5"/>
          </w:tcPr>
          <w:p w14:paraId="16E79947" w14:textId="77777777" w:rsidR="006928BB" w:rsidRDefault="006928BB" w:rsidP="00BC5317">
            <w:pPr>
              <w:jc w:val="both"/>
              <w:rPr>
                <w:b/>
              </w:rPr>
            </w:pPr>
            <w:bookmarkStart w:id="4" w:name="_Hlk43128282"/>
          </w:p>
        </w:tc>
        <w:tc>
          <w:tcPr>
            <w:tcW w:w="5387" w:type="dxa"/>
            <w:shd w:val="clear" w:color="auto" w:fill="DBC1E5"/>
          </w:tcPr>
          <w:p w14:paraId="4DEFE719" w14:textId="77777777" w:rsidR="006928BB" w:rsidRPr="002114FB" w:rsidRDefault="006928BB" w:rsidP="00BC5317">
            <w:pPr>
              <w:jc w:val="both"/>
            </w:pPr>
            <w:r>
              <w:rPr>
                <w:b/>
              </w:rPr>
              <w:t>1.</w:t>
            </w:r>
            <w:r w:rsidR="00564F74">
              <w:rPr>
                <w:b/>
              </w:rPr>
              <w:t>6</w:t>
            </w:r>
            <w:r>
              <w:rPr>
                <w:b/>
              </w:rPr>
              <w:t xml:space="preserve"> </w:t>
            </w:r>
            <w:r>
              <w:t>Design a process for monitoring prisoner health during the placement</w:t>
            </w:r>
            <w:r w:rsidR="00891CE6">
              <w:t xml:space="preserve">. This should include informing </w:t>
            </w:r>
            <w:r w:rsidR="00D77A64">
              <w:t xml:space="preserve">prisoners about how to recognise COVID-19 symptoms and the </w:t>
            </w:r>
            <w:r w:rsidR="00264314">
              <w:t xml:space="preserve">frequency and depth of </w:t>
            </w:r>
            <w:r w:rsidR="00D77A64">
              <w:t xml:space="preserve">formal </w:t>
            </w:r>
            <w:r w:rsidR="00264314">
              <w:t>monitoring</w:t>
            </w:r>
          </w:p>
        </w:tc>
        <w:tc>
          <w:tcPr>
            <w:tcW w:w="1156" w:type="dxa"/>
            <w:shd w:val="clear" w:color="auto" w:fill="DBC1E5"/>
          </w:tcPr>
          <w:p w14:paraId="07818DAA" w14:textId="77777777" w:rsidR="006928BB" w:rsidRDefault="006928BB" w:rsidP="00CF79F3">
            <w:pPr>
              <w:jc w:val="center"/>
              <w:rPr>
                <w:b/>
              </w:rPr>
            </w:pPr>
            <w:r>
              <w:rPr>
                <w:b/>
              </w:rPr>
              <w:t>2</w:t>
            </w:r>
          </w:p>
        </w:tc>
        <w:tc>
          <w:tcPr>
            <w:tcW w:w="1820" w:type="dxa"/>
            <w:shd w:val="clear" w:color="auto" w:fill="DBC1E5"/>
          </w:tcPr>
          <w:p w14:paraId="10247599" w14:textId="77777777" w:rsidR="006928BB" w:rsidRDefault="006928BB" w:rsidP="00CF79F3">
            <w:pPr>
              <w:jc w:val="center"/>
              <w:rPr>
                <w:b/>
              </w:rPr>
            </w:pPr>
            <w:r>
              <w:rPr>
                <w:b/>
              </w:rPr>
              <w:t>Partial</w:t>
            </w:r>
          </w:p>
        </w:tc>
        <w:tc>
          <w:tcPr>
            <w:tcW w:w="4314" w:type="dxa"/>
            <w:shd w:val="clear" w:color="auto" w:fill="DBC1E5"/>
          </w:tcPr>
          <w:p w14:paraId="61C022F5" w14:textId="77777777" w:rsidR="00D77A64" w:rsidRDefault="00B56D7E" w:rsidP="00DA6105">
            <w:hyperlink r:id="rId16" w:history="1">
              <w:r w:rsidR="00D77A64" w:rsidRPr="00D77A64">
                <w:rPr>
                  <w:rStyle w:val="Hyperlink"/>
                </w:rPr>
                <w:t>NHS COVID-19 symptom information</w:t>
              </w:r>
            </w:hyperlink>
          </w:p>
          <w:p w14:paraId="2309E992" w14:textId="77777777" w:rsidR="006928BB" w:rsidRDefault="006928BB" w:rsidP="00DA6105">
            <w:r w:rsidRPr="00CF79F3">
              <w:t xml:space="preserve">HMPPS Temperature Checking guidance is a delivery option </w:t>
            </w:r>
          </w:p>
          <w:p w14:paraId="4E525457" w14:textId="77777777" w:rsidR="00111EA9" w:rsidRDefault="00BD183A" w:rsidP="00BD183A">
            <w:r>
              <w:t xml:space="preserve">Prisoners should be given contact details of who to inform at their workplace and at the prison if they become </w:t>
            </w:r>
            <w:r w:rsidR="004E56C0">
              <w:t>unwell</w:t>
            </w:r>
          </w:p>
          <w:p w14:paraId="477A6054" w14:textId="77777777" w:rsidR="00B032AE" w:rsidRPr="00CF79F3" w:rsidRDefault="00B032AE" w:rsidP="00BD183A">
            <w:r>
              <w:t>Prisoners should be made aware of the symptoms of COVID-19 if they are not already</w:t>
            </w:r>
          </w:p>
        </w:tc>
      </w:tr>
      <w:bookmarkEnd w:id="4"/>
      <w:tr w:rsidR="00414517" w14:paraId="6376BC53" w14:textId="77777777" w:rsidTr="006928BB">
        <w:tc>
          <w:tcPr>
            <w:tcW w:w="1560" w:type="dxa"/>
            <w:vMerge/>
            <w:shd w:val="clear" w:color="auto" w:fill="DBC1E5"/>
          </w:tcPr>
          <w:p w14:paraId="4F3BA3C5" w14:textId="77777777" w:rsidR="00414517" w:rsidRDefault="00414517" w:rsidP="00414517">
            <w:pPr>
              <w:jc w:val="both"/>
              <w:rPr>
                <w:b/>
              </w:rPr>
            </w:pPr>
          </w:p>
        </w:tc>
        <w:tc>
          <w:tcPr>
            <w:tcW w:w="5387" w:type="dxa"/>
            <w:shd w:val="clear" w:color="auto" w:fill="DBC1E5"/>
          </w:tcPr>
          <w:p w14:paraId="3E068D90" w14:textId="77777777" w:rsidR="00414517" w:rsidRPr="006928BB" w:rsidRDefault="00414517" w:rsidP="00414517">
            <w:r>
              <w:rPr>
                <w:b/>
              </w:rPr>
              <w:t xml:space="preserve">1.7 </w:t>
            </w:r>
            <w:r>
              <w:t xml:space="preserve">Agree monitoring arrangements with each employer to include conditions for suspending placement </w:t>
            </w:r>
          </w:p>
        </w:tc>
        <w:tc>
          <w:tcPr>
            <w:tcW w:w="1156" w:type="dxa"/>
            <w:shd w:val="clear" w:color="auto" w:fill="DBC1E5"/>
          </w:tcPr>
          <w:p w14:paraId="1C71B4B7" w14:textId="77777777" w:rsidR="00414517" w:rsidRDefault="00414517" w:rsidP="00414517">
            <w:pPr>
              <w:jc w:val="center"/>
              <w:rPr>
                <w:b/>
              </w:rPr>
            </w:pPr>
            <w:r>
              <w:rPr>
                <w:b/>
              </w:rPr>
              <w:t>2</w:t>
            </w:r>
          </w:p>
        </w:tc>
        <w:tc>
          <w:tcPr>
            <w:tcW w:w="1820" w:type="dxa"/>
            <w:shd w:val="clear" w:color="auto" w:fill="DBC1E5"/>
          </w:tcPr>
          <w:p w14:paraId="512E9D6E" w14:textId="77777777" w:rsidR="00414517" w:rsidRDefault="00414517" w:rsidP="00414517">
            <w:pPr>
              <w:jc w:val="center"/>
              <w:rPr>
                <w:b/>
              </w:rPr>
            </w:pPr>
            <w:r>
              <w:rPr>
                <w:b/>
              </w:rPr>
              <w:t>Total</w:t>
            </w:r>
          </w:p>
        </w:tc>
        <w:tc>
          <w:tcPr>
            <w:tcW w:w="4314" w:type="dxa"/>
            <w:shd w:val="clear" w:color="auto" w:fill="DBC1E5"/>
          </w:tcPr>
          <w:p w14:paraId="045A73B5" w14:textId="77777777" w:rsidR="00414517" w:rsidRDefault="00414517" w:rsidP="00414517">
            <w:r>
              <w:t>Annex A – Further guidance</w:t>
            </w:r>
          </w:p>
          <w:p w14:paraId="1D15AC11" w14:textId="77777777" w:rsidR="00111EA9" w:rsidRPr="00CF79F3" w:rsidRDefault="00111EA9" w:rsidP="00414517"/>
        </w:tc>
      </w:tr>
      <w:tr w:rsidR="00414517" w14:paraId="4060CCF2" w14:textId="77777777" w:rsidTr="006928BB">
        <w:tc>
          <w:tcPr>
            <w:tcW w:w="1560" w:type="dxa"/>
            <w:vMerge w:val="restart"/>
            <w:shd w:val="clear" w:color="auto" w:fill="C092D2"/>
          </w:tcPr>
          <w:p w14:paraId="5D23A62D" w14:textId="77777777" w:rsidR="00414517" w:rsidRDefault="00414517" w:rsidP="00414517">
            <w:pPr>
              <w:jc w:val="both"/>
              <w:rPr>
                <w:b/>
              </w:rPr>
            </w:pPr>
            <w:r>
              <w:rPr>
                <w:b/>
              </w:rPr>
              <w:lastRenderedPageBreak/>
              <w:t xml:space="preserve">2 Discharge </w:t>
            </w:r>
          </w:p>
        </w:tc>
        <w:tc>
          <w:tcPr>
            <w:tcW w:w="5387" w:type="dxa"/>
            <w:tcBorders>
              <w:bottom w:val="single" w:sz="4" w:space="0" w:color="auto"/>
            </w:tcBorders>
            <w:shd w:val="clear" w:color="auto" w:fill="C092D2"/>
          </w:tcPr>
          <w:p w14:paraId="3BAAE703" w14:textId="77777777" w:rsidR="00414517" w:rsidRPr="00F2044C" w:rsidRDefault="00414517" w:rsidP="00414517">
            <w:pPr>
              <w:jc w:val="both"/>
            </w:pPr>
            <w:bookmarkStart w:id="5" w:name="_Hlk43128582"/>
            <w:r w:rsidRPr="0075300D">
              <w:rPr>
                <w:b/>
              </w:rPr>
              <w:t>2.1</w:t>
            </w:r>
            <w:r>
              <w:rPr>
                <w:b/>
              </w:rPr>
              <w:t xml:space="preserve"> </w:t>
            </w:r>
            <w:r>
              <w:t>Develop an interim model of discharge ensuring social distancing is maintained throughout</w:t>
            </w:r>
            <w:bookmarkEnd w:id="5"/>
          </w:p>
        </w:tc>
        <w:tc>
          <w:tcPr>
            <w:tcW w:w="1156" w:type="dxa"/>
            <w:tcBorders>
              <w:bottom w:val="single" w:sz="4" w:space="0" w:color="auto"/>
            </w:tcBorders>
            <w:shd w:val="clear" w:color="auto" w:fill="C092D2"/>
          </w:tcPr>
          <w:p w14:paraId="266D2FB0" w14:textId="77777777" w:rsidR="00414517" w:rsidRDefault="00414517" w:rsidP="00414517">
            <w:pPr>
              <w:jc w:val="center"/>
              <w:rPr>
                <w:b/>
              </w:rPr>
            </w:pPr>
            <w:r>
              <w:rPr>
                <w:b/>
              </w:rPr>
              <w:t>3</w:t>
            </w:r>
          </w:p>
        </w:tc>
        <w:tc>
          <w:tcPr>
            <w:tcW w:w="1820" w:type="dxa"/>
            <w:tcBorders>
              <w:bottom w:val="single" w:sz="4" w:space="0" w:color="auto"/>
            </w:tcBorders>
            <w:shd w:val="clear" w:color="auto" w:fill="C092D2"/>
          </w:tcPr>
          <w:p w14:paraId="45CB455C" w14:textId="77777777" w:rsidR="00414517" w:rsidRDefault="00414517" w:rsidP="00414517">
            <w:pPr>
              <w:jc w:val="center"/>
              <w:rPr>
                <w:b/>
              </w:rPr>
            </w:pPr>
            <w:r>
              <w:rPr>
                <w:b/>
              </w:rPr>
              <w:t>Total</w:t>
            </w:r>
          </w:p>
        </w:tc>
        <w:tc>
          <w:tcPr>
            <w:tcW w:w="4314" w:type="dxa"/>
            <w:tcBorders>
              <w:bottom w:val="single" w:sz="4" w:space="0" w:color="auto"/>
            </w:tcBorders>
            <w:shd w:val="clear" w:color="auto" w:fill="C092D2"/>
          </w:tcPr>
          <w:p w14:paraId="2230ACC5" w14:textId="77777777" w:rsidR="00414517" w:rsidRPr="00CF79F3" w:rsidRDefault="00414517" w:rsidP="00414517">
            <w:r>
              <w:t>PSI governing ROTL</w:t>
            </w:r>
            <w:r w:rsidR="00360D01">
              <w:t xml:space="preserve"> policy</w:t>
            </w:r>
          </w:p>
        </w:tc>
      </w:tr>
      <w:tr w:rsidR="00414517" w14:paraId="2F20696C" w14:textId="77777777" w:rsidTr="006928BB">
        <w:tc>
          <w:tcPr>
            <w:tcW w:w="1560" w:type="dxa"/>
            <w:vMerge/>
            <w:shd w:val="clear" w:color="auto" w:fill="C092D2"/>
          </w:tcPr>
          <w:p w14:paraId="5CA32F69" w14:textId="77777777" w:rsidR="00414517" w:rsidRDefault="00414517" w:rsidP="00414517">
            <w:pPr>
              <w:jc w:val="both"/>
              <w:rPr>
                <w:b/>
              </w:rPr>
            </w:pPr>
          </w:p>
        </w:tc>
        <w:tc>
          <w:tcPr>
            <w:tcW w:w="5387" w:type="dxa"/>
            <w:tcBorders>
              <w:bottom w:val="single" w:sz="4" w:space="0" w:color="auto"/>
            </w:tcBorders>
            <w:shd w:val="clear" w:color="auto" w:fill="C092D2"/>
          </w:tcPr>
          <w:p w14:paraId="7B5EC4A1" w14:textId="77777777" w:rsidR="00414517" w:rsidRPr="007409A7" w:rsidRDefault="00414517" w:rsidP="00414517">
            <w:pPr>
              <w:jc w:val="both"/>
            </w:pPr>
            <w:r>
              <w:rPr>
                <w:b/>
              </w:rPr>
              <w:t xml:space="preserve">2.2 </w:t>
            </w:r>
            <w:r>
              <w:t>Develop a mechanism for briefing prisoners on COVID controls covering their entire ROTL placement</w:t>
            </w:r>
            <w:r w:rsidR="00264314">
              <w:t>; adapt the method and content of messaging to ensure individuals understand communications</w:t>
            </w:r>
          </w:p>
        </w:tc>
        <w:tc>
          <w:tcPr>
            <w:tcW w:w="1156" w:type="dxa"/>
            <w:tcBorders>
              <w:bottom w:val="single" w:sz="4" w:space="0" w:color="auto"/>
            </w:tcBorders>
            <w:shd w:val="clear" w:color="auto" w:fill="C092D2"/>
          </w:tcPr>
          <w:p w14:paraId="7DAA4D7E" w14:textId="77777777" w:rsidR="00414517" w:rsidRDefault="00414517" w:rsidP="00414517">
            <w:pPr>
              <w:jc w:val="center"/>
              <w:rPr>
                <w:b/>
              </w:rPr>
            </w:pPr>
            <w:r>
              <w:rPr>
                <w:b/>
              </w:rPr>
              <w:t>2</w:t>
            </w:r>
          </w:p>
        </w:tc>
        <w:tc>
          <w:tcPr>
            <w:tcW w:w="1820" w:type="dxa"/>
            <w:tcBorders>
              <w:bottom w:val="single" w:sz="4" w:space="0" w:color="auto"/>
            </w:tcBorders>
            <w:shd w:val="clear" w:color="auto" w:fill="C092D2"/>
          </w:tcPr>
          <w:p w14:paraId="096BE877" w14:textId="77777777" w:rsidR="00414517" w:rsidRDefault="00414517" w:rsidP="00414517">
            <w:pPr>
              <w:jc w:val="center"/>
              <w:rPr>
                <w:b/>
              </w:rPr>
            </w:pPr>
            <w:r>
              <w:rPr>
                <w:b/>
              </w:rPr>
              <w:t>Total</w:t>
            </w:r>
          </w:p>
        </w:tc>
        <w:tc>
          <w:tcPr>
            <w:tcW w:w="4314" w:type="dxa"/>
            <w:tcBorders>
              <w:bottom w:val="single" w:sz="4" w:space="0" w:color="auto"/>
            </w:tcBorders>
            <w:shd w:val="clear" w:color="auto" w:fill="C092D2"/>
          </w:tcPr>
          <w:p w14:paraId="0BC1E34B" w14:textId="77777777" w:rsidR="00414517" w:rsidRDefault="00414517" w:rsidP="00414517">
            <w:r>
              <w:t>HMPPS Operational Guidance website contains information on SOPs, controls etc.</w:t>
            </w:r>
          </w:p>
          <w:p w14:paraId="2839615B" w14:textId="77777777" w:rsidR="00414517" w:rsidRDefault="00414517" w:rsidP="00414517"/>
          <w:p w14:paraId="3C58A0DF" w14:textId="77777777" w:rsidR="00414517" w:rsidRDefault="00414517" w:rsidP="00414517">
            <w:r>
              <w:t>To include informing prisoners about HMG advice to the public and employers</w:t>
            </w:r>
          </w:p>
        </w:tc>
      </w:tr>
      <w:tr w:rsidR="00414517" w14:paraId="2A74A2F0" w14:textId="77777777" w:rsidTr="006928BB">
        <w:tc>
          <w:tcPr>
            <w:tcW w:w="1560" w:type="dxa"/>
            <w:vMerge/>
            <w:shd w:val="clear" w:color="auto" w:fill="C092D2"/>
          </w:tcPr>
          <w:p w14:paraId="097928FB" w14:textId="77777777" w:rsidR="00414517" w:rsidRDefault="00414517" w:rsidP="00414517">
            <w:pPr>
              <w:jc w:val="both"/>
              <w:rPr>
                <w:b/>
              </w:rPr>
            </w:pPr>
          </w:p>
        </w:tc>
        <w:tc>
          <w:tcPr>
            <w:tcW w:w="5387" w:type="dxa"/>
            <w:tcBorders>
              <w:bottom w:val="single" w:sz="4" w:space="0" w:color="auto"/>
            </w:tcBorders>
            <w:shd w:val="clear" w:color="auto" w:fill="C092D2"/>
          </w:tcPr>
          <w:p w14:paraId="0825E95F" w14:textId="77777777" w:rsidR="00414517" w:rsidRPr="00DA6105" w:rsidRDefault="00414517" w:rsidP="00414517">
            <w:r>
              <w:rPr>
                <w:b/>
              </w:rPr>
              <w:t xml:space="preserve">2.3 </w:t>
            </w:r>
            <w:r>
              <w:t>Develop local guidance/procedure for travel plan for every placement, taking account of social distancing and COVID restrictions on vehicles</w:t>
            </w:r>
          </w:p>
        </w:tc>
        <w:tc>
          <w:tcPr>
            <w:tcW w:w="1156" w:type="dxa"/>
            <w:tcBorders>
              <w:bottom w:val="single" w:sz="4" w:space="0" w:color="auto"/>
            </w:tcBorders>
            <w:shd w:val="clear" w:color="auto" w:fill="C092D2"/>
          </w:tcPr>
          <w:p w14:paraId="3176A03A" w14:textId="77777777" w:rsidR="00414517" w:rsidRDefault="00414517" w:rsidP="00414517">
            <w:pPr>
              <w:jc w:val="center"/>
              <w:rPr>
                <w:b/>
              </w:rPr>
            </w:pPr>
            <w:r>
              <w:rPr>
                <w:b/>
              </w:rPr>
              <w:t>2</w:t>
            </w:r>
          </w:p>
        </w:tc>
        <w:tc>
          <w:tcPr>
            <w:tcW w:w="1820" w:type="dxa"/>
            <w:tcBorders>
              <w:bottom w:val="single" w:sz="4" w:space="0" w:color="auto"/>
            </w:tcBorders>
            <w:shd w:val="clear" w:color="auto" w:fill="C092D2"/>
          </w:tcPr>
          <w:p w14:paraId="2EEDAC2F" w14:textId="77777777" w:rsidR="00414517" w:rsidRDefault="00414517" w:rsidP="00414517">
            <w:pPr>
              <w:jc w:val="center"/>
              <w:rPr>
                <w:b/>
              </w:rPr>
            </w:pPr>
            <w:r>
              <w:rPr>
                <w:b/>
              </w:rPr>
              <w:t>Partial</w:t>
            </w:r>
          </w:p>
        </w:tc>
        <w:tc>
          <w:tcPr>
            <w:tcW w:w="4314" w:type="dxa"/>
            <w:tcBorders>
              <w:bottom w:val="single" w:sz="4" w:space="0" w:color="auto"/>
            </w:tcBorders>
            <w:shd w:val="clear" w:color="auto" w:fill="C092D2"/>
          </w:tcPr>
          <w:p w14:paraId="6EF35C1E" w14:textId="77777777" w:rsidR="00414517" w:rsidRDefault="00414517" w:rsidP="00414517">
            <w:r>
              <w:t>HMPPS Operational Guidance website contains guidance on use of transport</w:t>
            </w:r>
          </w:p>
          <w:p w14:paraId="0921CAF6" w14:textId="77777777" w:rsidR="006E08A1" w:rsidRDefault="006E08A1" w:rsidP="00414517"/>
          <w:p w14:paraId="7073EDBF" w14:textId="77777777" w:rsidR="006E08A1" w:rsidRDefault="006E08A1" w:rsidP="00414517">
            <w:r>
              <w:t xml:space="preserve">HMG advice regarding the use of </w:t>
            </w:r>
            <w:r w:rsidR="004E56C0">
              <w:t>PPE</w:t>
            </w:r>
            <w:r w:rsidR="00D77A64">
              <w:t xml:space="preserve"> and face coverings</w:t>
            </w:r>
            <w:r>
              <w:t xml:space="preserve"> on public transport (check England and Wales guidance as they may differ)</w:t>
            </w:r>
          </w:p>
        </w:tc>
      </w:tr>
      <w:tr w:rsidR="00414517" w14:paraId="27F148A9" w14:textId="77777777" w:rsidTr="006928BB">
        <w:tc>
          <w:tcPr>
            <w:tcW w:w="1560" w:type="dxa"/>
            <w:vMerge/>
            <w:shd w:val="clear" w:color="auto" w:fill="C092D2"/>
          </w:tcPr>
          <w:p w14:paraId="579B900D" w14:textId="77777777" w:rsidR="00414517" w:rsidRDefault="00414517" w:rsidP="00414517">
            <w:pPr>
              <w:jc w:val="both"/>
              <w:rPr>
                <w:b/>
              </w:rPr>
            </w:pPr>
          </w:p>
        </w:tc>
        <w:tc>
          <w:tcPr>
            <w:tcW w:w="5387" w:type="dxa"/>
            <w:tcBorders>
              <w:bottom w:val="single" w:sz="4" w:space="0" w:color="auto"/>
            </w:tcBorders>
            <w:shd w:val="clear" w:color="auto" w:fill="C092D2"/>
          </w:tcPr>
          <w:p w14:paraId="05F22BC7" w14:textId="77777777" w:rsidR="00414517" w:rsidRPr="006928BB" w:rsidRDefault="00414517" w:rsidP="00414517">
            <w:r>
              <w:rPr>
                <w:b/>
              </w:rPr>
              <w:t xml:space="preserve">2.4 </w:t>
            </w:r>
            <w:r w:rsidRPr="005C50E4">
              <w:t xml:space="preserve">Advice at present is to prioritise </w:t>
            </w:r>
            <w:r>
              <w:t xml:space="preserve">existing </w:t>
            </w:r>
            <w:r w:rsidRPr="005C50E4">
              <w:t xml:space="preserve">placements that can be reached using personal transport (bicycle, car) or on foot. However, </w:t>
            </w:r>
            <w:r>
              <w:t>if prison vehicles and drivers are being used, develop local COVID</w:t>
            </w:r>
            <w:r w:rsidR="00C121E6">
              <w:t>-19</w:t>
            </w:r>
            <w:r>
              <w:t xml:space="preserve"> addendum to policy governi</w:t>
            </w:r>
            <w:r w:rsidR="00C121E6">
              <w:t xml:space="preserve">ng this use (including instructions </w:t>
            </w:r>
            <w:r>
              <w:t xml:space="preserve">on </w:t>
            </w:r>
            <w:r w:rsidR="001A2CE1">
              <w:t xml:space="preserve">the use of </w:t>
            </w:r>
            <w:r w:rsidR="004E56C0">
              <w:t>PPE</w:t>
            </w:r>
            <w:r w:rsidR="00D77A64">
              <w:t xml:space="preserve"> and face coverings</w:t>
            </w:r>
            <w:r>
              <w:t>)</w:t>
            </w:r>
          </w:p>
        </w:tc>
        <w:tc>
          <w:tcPr>
            <w:tcW w:w="1156" w:type="dxa"/>
            <w:tcBorders>
              <w:bottom w:val="single" w:sz="4" w:space="0" w:color="auto"/>
            </w:tcBorders>
            <w:shd w:val="clear" w:color="auto" w:fill="C092D2"/>
          </w:tcPr>
          <w:p w14:paraId="368617BB" w14:textId="77777777" w:rsidR="00414517" w:rsidRDefault="00414517" w:rsidP="00414517">
            <w:pPr>
              <w:jc w:val="center"/>
              <w:rPr>
                <w:b/>
              </w:rPr>
            </w:pPr>
            <w:r>
              <w:rPr>
                <w:b/>
              </w:rPr>
              <w:t>2</w:t>
            </w:r>
          </w:p>
        </w:tc>
        <w:tc>
          <w:tcPr>
            <w:tcW w:w="1820" w:type="dxa"/>
            <w:tcBorders>
              <w:bottom w:val="single" w:sz="4" w:space="0" w:color="auto"/>
            </w:tcBorders>
            <w:shd w:val="clear" w:color="auto" w:fill="C092D2"/>
          </w:tcPr>
          <w:p w14:paraId="514941BD" w14:textId="77777777" w:rsidR="00414517" w:rsidRDefault="00414517" w:rsidP="00414517">
            <w:pPr>
              <w:jc w:val="center"/>
              <w:rPr>
                <w:b/>
              </w:rPr>
            </w:pPr>
            <w:r>
              <w:rPr>
                <w:b/>
              </w:rPr>
              <w:t>Total</w:t>
            </w:r>
          </w:p>
        </w:tc>
        <w:tc>
          <w:tcPr>
            <w:tcW w:w="4314" w:type="dxa"/>
            <w:tcBorders>
              <w:bottom w:val="single" w:sz="4" w:space="0" w:color="auto"/>
            </w:tcBorders>
            <w:shd w:val="clear" w:color="auto" w:fill="C092D2"/>
          </w:tcPr>
          <w:p w14:paraId="026BE394" w14:textId="77777777" w:rsidR="00414517" w:rsidRDefault="00414517" w:rsidP="00414517">
            <w:r>
              <w:t>HMPPS Operational Guidance website contains guidance on use of transport</w:t>
            </w:r>
          </w:p>
          <w:p w14:paraId="0006582C" w14:textId="77777777" w:rsidR="00414517" w:rsidRDefault="00414517" w:rsidP="00414517"/>
          <w:p w14:paraId="0E713455" w14:textId="77777777" w:rsidR="00414517" w:rsidRDefault="00414517" w:rsidP="00414517"/>
        </w:tc>
      </w:tr>
      <w:tr w:rsidR="00414517" w14:paraId="678292EF" w14:textId="77777777" w:rsidTr="006928BB">
        <w:tc>
          <w:tcPr>
            <w:tcW w:w="1560" w:type="dxa"/>
            <w:vMerge/>
            <w:shd w:val="clear" w:color="auto" w:fill="C092D2"/>
          </w:tcPr>
          <w:p w14:paraId="6E7D5591" w14:textId="77777777" w:rsidR="00414517" w:rsidRDefault="00414517" w:rsidP="00414517">
            <w:pPr>
              <w:jc w:val="both"/>
              <w:rPr>
                <w:b/>
              </w:rPr>
            </w:pPr>
          </w:p>
        </w:tc>
        <w:tc>
          <w:tcPr>
            <w:tcW w:w="5387" w:type="dxa"/>
            <w:tcBorders>
              <w:bottom w:val="single" w:sz="4" w:space="0" w:color="auto"/>
            </w:tcBorders>
            <w:shd w:val="clear" w:color="auto" w:fill="C092D2"/>
          </w:tcPr>
          <w:p w14:paraId="59489FE3" w14:textId="77777777" w:rsidR="00414517" w:rsidRPr="00DA6105" w:rsidRDefault="00414517" w:rsidP="00414517">
            <w:pPr>
              <w:jc w:val="both"/>
            </w:pPr>
            <w:r>
              <w:rPr>
                <w:b/>
              </w:rPr>
              <w:t xml:space="preserve">2.5 </w:t>
            </w:r>
            <w:r>
              <w:t>Develop an approach to issuing prisoner money that takes account of restrictions on use of physical currency</w:t>
            </w:r>
          </w:p>
        </w:tc>
        <w:tc>
          <w:tcPr>
            <w:tcW w:w="1156" w:type="dxa"/>
            <w:tcBorders>
              <w:bottom w:val="single" w:sz="4" w:space="0" w:color="auto"/>
            </w:tcBorders>
            <w:shd w:val="clear" w:color="auto" w:fill="C092D2"/>
          </w:tcPr>
          <w:p w14:paraId="522AA19A" w14:textId="77777777" w:rsidR="00414517" w:rsidRDefault="00414517" w:rsidP="00414517">
            <w:pPr>
              <w:jc w:val="center"/>
              <w:rPr>
                <w:b/>
              </w:rPr>
            </w:pPr>
            <w:r>
              <w:rPr>
                <w:b/>
              </w:rPr>
              <w:t>2</w:t>
            </w:r>
          </w:p>
        </w:tc>
        <w:tc>
          <w:tcPr>
            <w:tcW w:w="1820" w:type="dxa"/>
            <w:tcBorders>
              <w:bottom w:val="single" w:sz="4" w:space="0" w:color="auto"/>
            </w:tcBorders>
            <w:shd w:val="clear" w:color="auto" w:fill="C092D2"/>
          </w:tcPr>
          <w:p w14:paraId="48867E7E" w14:textId="77777777" w:rsidR="00414517" w:rsidRDefault="00414517" w:rsidP="00414517">
            <w:pPr>
              <w:jc w:val="center"/>
              <w:rPr>
                <w:b/>
              </w:rPr>
            </w:pPr>
            <w:r>
              <w:rPr>
                <w:b/>
              </w:rPr>
              <w:t>Total</w:t>
            </w:r>
          </w:p>
        </w:tc>
        <w:tc>
          <w:tcPr>
            <w:tcW w:w="4314" w:type="dxa"/>
            <w:tcBorders>
              <w:bottom w:val="single" w:sz="4" w:space="0" w:color="auto"/>
            </w:tcBorders>
            <w:shd w:val="clear" w:color="auto" w:fill="C092D2"/>
          </w:tcPr>
          <w:p w14:paraId="6AAF70AD" w14:textId="77777777" w:rsidR="00414517" w:rsidRDefault="00A330C6" w:rsidP="00414517">
            <w:pPr>
              <w:jc w:val="both"/>
            </w:pPr>
            <w:r>
              <w:t>Consider access to contactless debit cards and pre-pay</w:t>
            </w:r>
            <w:r w:rsidR="00BD183A">
              <w:t>ment</w:t>
            </w:r>
            <w:r>
              <w:t xml:space="preserve"> cards</w:t>
            </w:r>
          </w:p>
        </w:tc>
      </w:tr>
      <w:tr w:rsidR="00414517" w:rsidRPr="00BC5317" w14:paraId="2C59E201" w14:textId="77777777" w:rsidTr="006928BB">
        <w:trPr>
          <w:trHeight w:val="819"/>
        </w:trPr>
        <w:tc>
          <w:tcPr>
            <w:tcW w:w="1560" w:type="dxa"/>
            <w:tcBorders>
              <w:bottom w:val="single" w:sz="4" w:space="0" w:color="auto"/>
            </w:tcBorders>
            <w:shd w:val="clear" w:color="auto" w:fill="7F4098"/>
          </w:tcPr>
          <w:p w14:paraId="174BBEDB" w14:textId="77777777" w:rsidR="00414517" w:rsidRPr="00BC5317" w:rsidRDefault="00414517" w:rsidP="00414517">
            <w:pPr>
              <w:jc w:val="both"/>
              <w:rPr>
                <w:b/>
                <w:color w:val="FFFFFF" w:themeColor="background1"/>
              </w:rPr>
            </w:pPr>
            <w:r w:rsidRPr="00BC5317">
              <w:rPr>
                <w:b/>
                <w:color w:val="FFFFFF" w:themeColor="background1"/>
              </w:rPr>
              <w:t>Area/Process</w:t>
            </w:r>
          </w:p>
        </w:tc>
        <w:tc>
          <w:tcPr>
            <w:tcW w:w="5387" w:type="dxa"/>
            <w:tcBorders>
              <w:bottom w:val="single" w:sz="4" w:space="0" w:color="auto"/>
            </w:tcBorders>
            <w:shd w:val="clear" w:color="auto" w:fill="7F4098"/>
          </w:tcPr>
          <w:p w14:paraId="4FE59DD7" w14:textId="77777777" w:rsidR="00414517" w:rsidRPr="00BC5317" w:rsidRDefault="00414517" w:rsidP="00414517">
            <w:pPr>
              <w:jc w:val="both"/>
              <w:rPr>
                <w:b/>
                <w:color w:val="FFFFFF" w:themeColor="background1"/>
              </w:rPr>
            </w:pPr>
            <w:r w:rsidRPr="00BC5317">
              <w:rPr>
                <w:b/>
                <w:color w:val="FFFFFF" w:themeColor="background1"/>
              </w:rPr>
              <w:t>Baseline</w:t>
            </w:r>
          </w:p>
        </w:tc>
        <w:tc>
          <w:tcPr>
            <w:tcW w:w="1156" w:type="dxa"/>
            <w:tcBorders>
              <w:bottom w:val="single" w:sz="4" w:space="0" w:color="auto"/>
            </w:tcBorders>
            <w:shd w:val="clear" w:color="auto" w:fill="7F4098"/>
          </w:tcPr>
          <w:p w14:paraId="36E5297B" w14:textId="77777777" w:rsidR="00414517" w:rsidRPr="00BC5317" w:rsidRDefault="00414517" w:rsidP="00414517">
            <w:pPr>
              <w:jc w:val="both"/>
              <w:rPr>
                <w:b/>
                <w:color w:val="FFFFFF" w:themeColor="background1"/>
              </w:rPr>
            </w:pPr>
            <w:r w:rsidRPr="00BC5317">
              <w:rPr>
                <w:b/>
                <w:color w:val="FFFFFF" w:themeColor="background1"/>
              </w:rPr>
              <w:t>Weighting (1,2,3)</w:t>
            </w:r>
          </w:p>
        </w:tc>
        <w:tc>
          <w:tcPr>
            <w:tcW w:w="1820" w:type="dxa"/>
            <w:tcBorders>
              <w:bottom w:val="single" w:sz="4" w:space="0" w:color="auto"/>
            </w:tcBorders>
            <w:shd w:val="clear" w:color="auto" w:fill="7F4098"/>
          </w:tcPr>
          <w:p w14:paraId="10752E80" w14:textId="77777777" w:rsidR="00414517" w:rsidRPr="00BC5317" w:rsidRDefault="00414517" w:rsidP="00414517">
            <w:pPr>
              <w:rPr>
                <w:b/>
                <w:color w:val="FFFFFF" w:themeColor="background1"/>
              </w:rPr>
            </w:pPr>
            <w:r w:rsidRPr="00BC5317">
              <w:rPr>
                <w:b/>
                <w:color w:val="FFFFFF" w:themeColor="background1"/>
              </w:rPr>
              <w:t>Autonomy Level</w:t>
            </w:r>
          </w:p>
          <w:p w14:paraId="7A859DAB" w14:textId="77777777" w:rsidR="00414517" w:rsidRPr="00BC5317" w:rsidRDefault="00414517" w:rsidP="00414517">
            <w:pPr>
              <w:rPr>
                <w:b/>
                <w:color w:val="FFFFFF" w:themeColor="background1"/>
              </w:rPr>
            </w:pPr>
            <w:r w:rsidRPr="00BC5317">
              <w:rPr>
                <w:b/>
                <w:color w:val="FFFFFF" w:themeColor="background1"/>
              </w:rPr>
              <w:t>(total, partial, limited)</w:t>
            </w:r>
          </w:p>
        </w:tc>
        <w:tc>
          <w:tcPr>
            <w:tcW w:w="4314" w:type="dxa"/>
            <w:tcBorders>
              <w:bottom w:val="single" w:sz="4" w:space="0" w:color="auto"/>
            </w:tcBorders>
            <w:shd w:val="clear" w:color="auto" w:fill="7F4098"/>
          </w:tcPr>
          <w:p w14:paraId="72FE99A9" w14:textId="77777777" w:rsidR="00414517" w:rsidRPr="00BC5317" w:rsidRDefault="00414517" w:rsidP="00414517">
            <w:pPr>
              <w:jc w:val="both"/>
              <w:rPr>
                <w:b/>
                <w:color w:val="FFFFFF" w:themeColor="background1"/>
              </w:rPr>
            </w:pPr>
            <w:r w:rsidRPr="00BC5317">
              <w:rPr>
                <w:b/>
                <w:color w:val="FFFFFF" w:themeColor="background1"/>
              </w:rPr>
              <w:t>Comments</w:t>
            </w:r>
            <w:r>
              <w:rPr>
                <w:b/>
                <w:color w:val="FFFFFF" w:themeColor="background1"/>
              </w:rPr>
              <w:t>/Sources of information</w:t>
            </w:r>
          </w:p>
        </w:tc>
      </w:tr>
      <w:tr w:rsidR="00414517" w14:paraId="374BA7C0" w14:textId="77777777" w:rsidTr="006928BB">
        <w:tc>
          <w:tcPr>
            <w:tcW w:w="1560" w:type="dxa"/>
            <w:vMerge w:val="restart"/>
            <w:shd w:val="clear" w:color="auto" w:fill="DBC1E5"/>
          </w:tcPr>
          <w:p w14:paraId="0F4012B6" w14:textId="77777777" w:rsidR="00414517" w:rsidRDefault="00414517" w:rsidP="00414517">
            <w:pPr>
              <w:jc w:val="both"/>
              <w:rPr>
                <w:b/>
              </w:rPr>
            </w:pPr>
            <w:r>
              <w:rPr>
                <w:b/>
              </w:rPr>
              <w:t>3 Monitoring</w:t>
            </w:r>
          </w:p>
        </w:tc>
        <w:tc>
          <w:tcPr>
            <w:tcW w:w="5387" w:type="dxa"/>
            <w:tcBorders>
              <w:bottom w:val="single" w:sz="4" w:space="0" w:color="auto"/>
            </w:tcBorders>
            <w:shd w:val="clear" w:color="auto" w:fill="DBC1E5"/>
          </w:tcPr>
          <w:p w14:paraId="281A9B7F" w14:textId="77777777" w:rsidR="00414517" w:rsidRPr="006928BB" w:rsidRDefault="00414517" w:rsidP="00414517">
            <w:pPr>
              <w:jc w:val="both"/>
            </w:pPr>
            <w:r>
              <w:t xml:space="preserve"> </w:t>
            </w:r>
            <w:r w:rsidRPr="00B03E60">
              <w:rPr>
                <w:b/>
              </w:rPr>
              <w:t>3.1</w:t>
            </w:r>
            <w:r>
              <w:t xml:space="preserve"> Carry out monitoring arrangements agreed with employer</w:t>
            </w:r>
          </w:p>
        </w:tc>
        <w:tc>
          <w:tcPr>
            <w:tcW w:w="1156" w:type="dxa"/>
            <w:tcBorders>
              <w:bottom w:val="single" w:sz="4" w:space="0" w:color="auto"/>
            </w:tcBorders>
            <w:shd w:val="clear" w:color="auto" w:fill="DBC1E5"/>
          </w:tcPr>
          <w:p w14:paraId="1FCC26A3" w14:textId="77777777" w:rsidR="00414517" w:rsidRDefault="00414517" w:rsidP="00414517">
            <w:pPr>
              <w:jc w:val="center"/>
              <w:rPr>
                <w:b/>
              </w:rPr>
            </w:pPr>
            <w:r>
              <w:rPr>
                <w:b/>
              </w:rPr>
              <w:t>1</w:t>
            </w:r>
          </w:p>
        </w:tc>
        <w:tc>
          <w:tcPr>
            <w:tcW w:w="1820" w:type="dxa"/>
            <w:tcBorders>
              <w:bottom w:val="single" w:sz="4" w:space="0" w:color="auto"/>
            </w:tcBorders>
            <w:shd w:val="clear" w:color="auto" w:fill="DBC1E5"/>
          </w:tcPr>
          <w:p w14:paraId="75F30A56" w14:textId="77777777" w:rsidR="00414517" w:rsidRDefault="00414517" w:rsidP="00414517">
            <w:pPr>
              <w:jc w:val="center"/>
              <w:rPr>
                <w:b/>
              </w:rPr>
            </w:pPr>
            <w:r>
              <w:rPr>
                <w:b/>
              </w:rPr>
              <w:t>Total</w:t>
            </w:r>
          </w:p>
          <w:p w14:paraId="07E07E41" w14:textId="77777777" w:rsidR="00414517" w:rsidRDefault="00414517" w:rsidP="00414517">
            <w:pPr>
              <w:rPr>
                <w:b/>
              </w:rPr>
            </w:pPr>
          </w:p>
        </w:tc>
        <w:tc>
          <w:tcPr>
            <w:tcW w:w="4314" w:type="dxa"/>
            <w:tcBorders>
              <w:bottom w:val="single" w:sz="4" w:space="0" w:color="auto"/>
            </w:tcBorders>
            <w:shd w:val="clear" w:color="auto" w:fill="DBC1E5"/>
          </w:tcPr>
          <w:p w14:paraId="4A584493" w14:textId="77777777" w:rsidR="00414517" w:rsidRPr="00CF79F3" w:rsidRDefault="00F610EA" w:rsidP="00414517">
            <w:pPr>
              <w:jc w:val="both"/>
            </w:pPr>
            <w:r>
              <w:t>X</w:t>
            </w:r>
          </w:p>
        </w:tc>
      </w:tr>
      <w:tr w:rsidR="00414517" w14:paraId="3124D9C0" w14:textId="77777777" w:rsidTr="006928BB">
        <w:tc>
          <w:tcPr>
            <w:tcW w:w="1560" w:type="dxa"/>
            <w:vMerge/>
            <w:tcBorders>
              <w:bottom w:val="single" w:sz="4" w:space="0" w:color="auto"/>
            </w:tcBorders>
            <w:shd w:val="clear" w:color="auto" w:fill="DBC1E5"/>
          </w:tcPr>
          <w:p w14:paraId="6C6F3D40" w14:textId="77777777" w:rsidR="00414517" w:rsidRDefault="00414517" w:rsidP="00414517">
            <w:pPr>
              <w:jc w:val="both"/>
              <w:rPr>
                <w:b/>
              </w:rPr>
            </w:pPr>
          </w:p>
        </w:tc>
        <w:tc>
          <w:tcPr>
            <w:tcW w:w="5387" w:type="dxa"/>
            <w:tcBorders>
              <w:bottom w:val="single" w:sz="4" w:space="0" w:color="auto"/>
            </w:tcBorders>
            <w:shd w:val="clear" w:color="auto" w:fill="DBC1E5"/>
          </w:tcPr>
          <w:p w14:paraId="028DAB8D" w14:textId="77777777" w:rsidR="00414517" w:rsidRPr="006928BB" w:rsidRDefault="00414517" w:rsidP="00414517">
            <w:pPr>
              <w:jc w:val="both"/>
            </w:pPr>
            <w:r>
              <w:rPr>
                <w:b/>
              </w:rPr>
              <w:t xml:space="preserve">3.2 </w:t>
            </w:r>
            <w:r>
              <w:t>Any additional conditions on monitoring to be added to licence conditions</w:t>
            </w:r>
          </w:p>
        </w:tc>
        <w:tc>
          <w:tcPr>
            <w:tcW w:w="1156" w:type="dxa"/>
            <w:tcBorders>
              <w:bottom w:val="single" w:sz="4" w:space="0" w:color="auto"/>
            </w:tcBorders>
            <w:shd w:val="clear" w:color="auto" w:fill="DBC1E5"/>
          </w:tcPr>
          <w:p w14:paraId="0FFAF7E6" w14:textId="77777777" w:rsidR="00414517" w:rsidRDefault="00414517" w:rsidP="00414517">
            <w:pPr>
              <w:jc w:val="center"/>
              <w:rPr>
                <w:b/>
              </w:rPr>
            </w:pPr>
            <w:r>
              <w:rPr>
                <w:b/>
              </w:rPr>
              <w:t>2</w:t>
            </w:r>
          </w:p>
        </w:tc>
        <w:tc>
          <w:tcPr>
            <w:tcW w:w="1820" w:type="dxa"/>
            <w:tcBorders>
              <w:bottom w:val="single" w:sz="4" w:space="0" w:color="auto"/>
            </w:tcBorders>
            <w:shd w:val="clear" w:color="auto" w:fill="DBC1E5"/>
          </w:tcPr>
          <w:p w14:paraId="2A04E476" w14:textId="77777777" w:rsidR="00414517" w:rsidRDefault="00414517" w:rsidP="00414517">
            <w:pPr>
              <w:jc w:val="center"/>
              <w:rPr>
                <w:b/>
              </w:rPr>
            </w:pPr>
            <w:r>
              <w:rPr>
                <w:b/>
              </w:rPr>
              <w:t>Partial</w:t>
            </w:r>
          </w:p>
        </w:tc>
        <w:tc>
          <w:tcPr>
            <w:tcW w:w="4314" w:type="dxa"/>
            <w:tcBorders>
              <w:bottom w:val="single" w:sz="4" w:space="0" w:color="auto"/>
            </w:tcBorders>
            <w:shd w:val="clear" w:color="auto" w:fill="DBC1E5"/>
          </w:tcPr>
          <w:p w14:paraId="18BD4C4D" w14:textId="77777777" w:rsidR="00414517" w:rsidRPr="00CF79F3" w:rsidRDefault="00414517" w:rsidP="00414517">
            <w:pPr>
              <w:jc w:val="both"/>
            </w:pPr>
            <w:r>
              <w:t>To be drafted in line with Government guidelines on social distancing</w:t>
            </w:r>
          </w:p>
        </w:tc>
      </w:tr>
      <w:tr w:rsidR="00C121E6" w14:paraId="18700C0E" w14:textId="77777777" w:rsidTr="005E0A3D">
        <w:tc>
          <w:tcPr>
            <w:tcW w:w="1560" w:type="dxa"/>
            <w:shd w:val="clear" w:color="auto" w:fill="C092D2"/>
          </w:tcPr>
          <w:p w14:paraId="6DC261EE" w14:textId="77777777" w:rsidR="00C121E6" w:rsidRDefault="00C121E6" w:rsidP="00C121E6">
            <w:pPr>
              <w:jc w:val="both"/>
              <w:rPr>
                <w:b/>
              </w:rPr>
            </w:pPr>
            <w:bookmarkStart w:id="6" w:name="_Hlk43128619"/>
            <w:r>
              <w:rPr>
                <w:b/>
              </w:rPr>
              <w:t>4 Return</w:t>
            </w:r>
          </w:p>
        </w:tc>
        <w:tc>
          <w:tcPr>
            <w:tcW w:w="5387" w:type="dxa"/>
            <w:tcBorders>
              <w:bottom w:val="single" w:sz="4" w:space="0" w:color="auto"/>
            </w:tcBorders>
            <w:shd w:val="clear" w:color="auto" w:fill="C092D2"/>
          </w:tcPr>
          <w:p w14:paraId="5533D6BA" w14:textId="77777777" w:rsidR="00C121E6" w:rsidRPr="006928BB" w:rsidRDefault="00C121E6" w:rsidP="00C121E6">
            <w:pPr>
              <w:jc w:val="both"/>
            </w:pPr>
            <w:r w:rsidRPr="00D075B4">
              <w:rPr>
                <w:b/>
              </w:rPr>
              <w:t>4.1</w:t>
            </w:r>
            <w:r>
              <w:rPr>
                <w:b/>
              </w:rPr>
              <w:t xml:space="preserve"> </w:t>
            </w:r>
            <w:r>
              <w:t>Develop a local procedure for return (reversing the discharge process)</w:t>
            </w:r>
          </w:p>
        </w:tc>
        <w:tc>
          <w:tcPr>
            <w:tcW w:w="1156" w:type="dxa"/>
            <w:tcBorders>
              <w:bottom w:val="single" w:sz="4" w:space="0" w:color="auto"/>
            </w:tcBorders>
            <w:shd w:val="clear" w:color="auto" w:fill="C092D2"/>
          </w:tcPr>
          <w:p w14:paraId="40C193BC" w14:textId="77777777" w:rsidR="00C121E6" w:rsidRDefault="00C121E6" w:rsidP="00C121E6">
            <w:pPr>
              <w:jc w:val="center"/>
              <w:rPr>
                <w:b/>
              </w:rPr>
            </w:pPr>
            <w:r>
              <w:rPr>
                <w:b/>
              </w:rPr>
              <w:t>3</w:t>
            </w:r>
          </w:p>
        </w:tc>
        <w:tc>
          <w:tcPr>
            <w:tcW w:w="1820" w:type="dxa"/>
            <w:tcBorders>
              <w:bottom w:val="single" w:sz="4" w:space="0" w:color="auto"/>
            </w:tcBorders>
            <w:shd w:val="clear" w:color="auto" w:fill="C092D2"/>
          </w:tcPr>
          <w:p w14:paraId="5D4D57EE" w14:textId="77777777" w:rsidR="00C121E6" w:rsidRDefault="00C121E6" w:rsidP="00C121E6">
            <w:pPr>
              <w:jc w:val="center"/>
              <w:rPr>
                <w:b/>
              </w:rPr>
            </w:pPr>
            <w:r>
              <w:rPr>
                <w:b/>
              </w:rPr>
              <w:t>Total</w:t>
            </w:r>
          </w:p>
        </w:tc>
        <w:tc>
          <w:tcPr>
            <w:tcW w:w="4314" w:type="dxa"/>
            <w:tcBorders>
              <w:bottom w:val="single" w:sz="4" w:space="0" w:color="auto"/>
            </w:tcBorders>
            <w:shd w:val="clear" w:color="auto" w:fill="C092D2"/>
          </w:tcPr>
          <w:p w14:paraId="7B332DFC" w14:textId="77777777" w:rsidR="00C121E6" w:rsidRDefault="00C121E6" w:rsidP="00C121E6">
            <w:pPr>
              <w:jc w:val="both"/>
            </w:pPr>
            <w:r w:rsidRPr="00CF79F3">
              <w:t xml:space="preserve">HMPPS Temperature Checking guidance is a delivery </w:t>
            </w:r>
            <w:r w:rsidR="004E56C0" w:rsidRPr="00CF79F3">
              <w:t>option</w:t>
            </w:r>
            <w:r w:rsidR="00B032AE">
              <w:t xml:space="preserve">. Prisoners should also have access to hand washing on their return. </w:t>
            </w:r>
          </w:p>
          <w:p w14:paraId="7578054B" w14:textId="77777777" w:rsidR="00D77A64" w:rsidRPr="00CF79F3" w:rsidRDefault="00D77A64" w:rsidP="00C121E6">
            <w:pPr>
              <w:jc w:val="both"/>
            </w:pPr>
            <w:r>
              <w:lastRenderedPageBreak/>
              <w:t xml:space="preserve">Ensure access to handwashing and shower facilities </w:t>
            </w:r>
            <w:proofErr w:type="gramStart"/>
            <w:r>
              <w:t>are  provided</w:t>
            </w:r>
            <w:proofErr w:type="gramEnd"/>
            <w:r>
              <w:t xml:space="preserve"> and that workwear can be washed </w:t>
            </w:r>
          </w:p>
        </w:tc>
      </w:tr>
      <w:bookmarkEnd w:id="6"/>
      <w:tr w:rsidR="00C121E6" w14:paraId="14558955" w14:textId="77777777" w:rsidTr="006928BB">
        <w:tc>
          <w:tcPr>
            <w:tcW w:w="1560" w:type="dxa"/>
            <w:shd w:val="clear" w:color="auto" w:fill="DBC1E5"/>
          </w:tcPr>
          <w:p w14:paraId="1D8B27AA" w14:textId="77777777" w:rsidR="00C121E6" w:rsidRDefault="00C121E6" w:rsidP="00C121E6">
            <w:pPr>
              <w:jc w:val="both"/>
              <w:rPr>
                <w:b/>
              </w:rPr>
            </w:pPr>
            <w:r>
              <w:rPr>
                <w:b/>
              </w:rPr>
              <w:lastRenderedPageBreak/>
              <w:t xml:space="preserve">5 Location </w:t>
            </w:r>
          </w:p>
        </w:tc>
        <w:tc>
          <w:tcPr>
            <w:tcW w:w="5387" w:type="dxa"/>
            <w:shd w:val="clear" w:color="auto" w:fill="DBC1E5"/>
          </w:tcPr>
          <w:p w14:paraId="7E7D6F88" w14:textId="77777777" w:rsidR="00C121E6" w:rsidRPr="00CF79F3" w:rsidRDefault="00C121E6" w:rsidP="00C121E6">
            <w:pPr>
              <w:jc w:val="both"/>
            </w:pPr>
            <w:r w:rsidRPr="00CF79F3">
              <w:rPr>
                <w:b/>
              </w:rPr>
              <w:t xml:space="preserve">5.1 </w:t>
            </w:r>
            <w:r>
              <w:t xml:space="preserve">Develop a local </w:t>
            </w:r>
            <w:proofErr w:type="spellStart"/>
            <w:r>
              <w:t>cohorting</w:t>
            </w:r>
            <w:proofErr w:type="spellEnd"/>
            <w:r>
              <w:t xml:space="preserve"> strategy outlining how the outworker group will be separated/managed</w:t>
            </w:r>
          </w:p>
        </w:tc>
        <w:tc>
          <w:tcPr>
            <w:tcW w:w="1156" w:type="dxa"/>
            <w:shd w:val="clear" w:color="auto" w:fill="DBC1E5"/>
          </w:tcPr>
          <w:p w14:paraId="2D2CBF40" w14:textId="77777777" w:rsidR="00C121E6" w:rsidRDefault="00C121E6" w:rsidP="00C121E6">
            <w:pPr>
              <w:jc w:val="center"/>
              <w:rPr>
                <w:b/>
              </w:rPr>
            </w:pPr>
            <w:r>
              <w:rPr>
                <w:b/>
              </w:rPr>
              <w:t>3</w:t>
            </w:r>
          </w:p>
        </w:tc>
        <w:tc>
          <w:tcPr>
            <w:tcW w:w="1820" w:type="dxa"/>
            <w:shd w:val="clear" w:color="auto" w:fill="DBC1E5"/>
          </w:tcPr>
          <w:p w14:paraId="28B1C40E" w14:textId="77777777" w:rsidR="00C121E6" w:rsidRDefault="00C121E6" w:rsidP="00C121E6">
            <w:pPr>
              <w:jc w:val="center"/>
              <w:rPr>
                <w:b/>
              </w:rPr>
            </w:pPr>
            <w:r>
              <w:rPr>
                <w:b/>
              </w:rPr>
              <w:t>Partial</w:t>
            </w:r>
          </w:p>
        </w:tc>
        <w:tc>
          <w:tcPr>
            <w:tcW w:w="4314" w:type="dxa"/>
            <w:shd w:val="clear" w:color="auto" w:fill="DBC1E5"/>
          </w:tcPr>
          <w:p w14:paraId="46BB23B4" w14:textId="77777777" w:rsidR="001F39BF" w:rsidRPr="00CD0F87" w:rsidRDefault="00C121E6" w:rsidP="00C121E6">
            <w:r>
              <w:t>HMPPS</w:t>
            </w:r>
            <w:r w:rsidR="00CD0F87">
              <w:t xml:space="preserve"> COVID-19</w:t>
            </w:r>
            <w:r>
              <w:t xml:space="preserve"> Cohorting Guidance and Cat D addendum should be consulted</w:t>
            </w:r>
          </w:p>
        </w:tc>
      </w:tr>
    </w:tbl>
    <w:p w14:paraId="30824CA9" w14:textId="77777777" w:rsidR="00651F30" w:rsidRDefault="00651F30" w:rsidP="00343E17">
      <w:pPr>
        <w:jc w:val="both"/>
        <w:rPr>
          <w:rFonts w:cstheme="minorHAnsi"/>
          <w:b/>
        </w:rPr>
        <w:sectPr w:rsidR="00651F30" w:rsidSect="00480FD8">
          <w:pgSz w:w="16838" w:h="11906" w:orient="landscape"/>
          <w:pgMar w:top="1440" w:right="1440" w:bottom="1440" w:left="1440" w:header="709" w:footer="709" w:gutter="0"/>
          <w:cols w:space="708"/>
          <w:docGrid w:linePitch="360"/>
        </w:sectPr>
      </w:pPr>
    </w:p>
    <w:p w14:paraId="11C3AD83" w14:textId="77777777" w:rsidR="00343E17" w:rsidRPr="00E13965" w:rsidRDefault="00303A2C" w:rsidP="00242FD9">
      <w:pPr>
        <w:spacing w:line="240" w:lineRule="auto"/>
        <w:jc w:val="both"/>
        <w:rPr>
          <w:rFonts w:cstheme="minorHAnsi"/>
          <w:b/>
          <w:u w:val="single"/>
        </w:rPr>
      </w:pPr>
      <w:r w:rsidRPr="00E13965">
        <w:rPr>
          <w:rFonts w:cstheme="minorHAnsi"/>
          <w:b/>
          <w:u w:val="single"/>
        </w:rPr>
        <w:lastRenderedPageBreak/>
        <w:t xml:space="preserve">Annex A – </w:t>
      </w:r>
      <w:r w:rsidR="00343E17" w:rsidRPr="00E13965">
        <w:rPr>
          <w:rFonts w:cstheme="minorHAnsi"/>
          <w:b/>
          <w:u w:val="single"/>
        </w:rPr>
        <w:t>Further guidance</w:t>
      </w:r>
    </w:p>
    <w:p w14:paraId="1AE44452" w14:textId="77777777" w:rsidR="00343E17" w:rsidRPr="00E13965" w:rsidRDefault="00343E17" w:rsidP="00242FD9">
      <w:pPr>
        <w:spacing w:line="240" w:lineRule="auto"/>
        <w:jc w:val="both"/>
        <w:rPr>
          <w:rFonts w:cstheme="minorHAnsi"/>
        </w:rPr>
      </w:pPr>
      <w:r w:rsidRPr="00E13965">
        <w:rPr>
          <w:rFonts w:cstheme="minorHAnsi"/>
        </w:rPr>
        <w:t xml:space="preserve">The </w:t>
      </w:r>
      <w:r w:rsidR="00E13965">
        <w:rPr>
          <w:rFonts w:cstheme="minorHAnsi"/>
        </w:rPr>
        <w:t>steps below outline best practice</w:t>
      </w:r>
      <w:r w:rsidR="00564F74">
        <w:rPr>
          <w:rFonts w:cstheme="minorHAnsi"/>
        </w:rPr>
        <w:t xml:space="preserve"> and</w:t>
      </w:r>
      <w:r w:rsidR="00E13965">
        <w:rPr>
          <w:rFonts w:cstheme="minorHAnsi"/>
        </w:rPr>
        <w:t xml:space="preserve"> </w:t>
      </w:r>
      <w:r w:rsidR="00E13965" w:rsidRPr="00E13965">
        <w:rPr>
          <w:rFonts w:cstheme="minorHAnsi"/>
        </w:rPr>
        <w:t>should be tailored to meet local needs</w:t>
      </w:r>
      <w:r w:rsidR="006E08A1">
        <w:rPr>
          <w:rFonts w:cstheme="minorHAnsi"/>
        </w:rPr>
        <w:t>, with the input of other relevant stakeholders</w:t>
      </w:r>
      <w:r w:rsidR="00C863CB">
        <w:rPr>
          <w:rFonts w:cstheme="minorHAnsi"/>
        </w:rPr>
        <w:t xml:space="preserve"> where necessary</w:t>
      </w:r>
      <w:r w:rsidR="00E13965" w:rsidRPr="00E13965">
        <w:rPr>
          <w:rFonts w:cstheme="minorHAnsi"/>
        </w:rPr>
        <w:t>.</w:t>
      </w:r>
      <w:r w:rsidR="00E13965">
        <w:rPr>
          <w:rFonts w:cstheme="minorHAnsi"/>
        </w:rPr>
        <w:t xml:space="preserve"> </w:t>
      </w:r>
    </w:p>
    <w:p w14:paraId="421DCD70" w14:textId="77777777" w:rsidR="00651F30" w:rsidRDefault="000F778F" w:rsidP="00A94DF6">
      <w:pPr>
        <w:spacing w:before="240" w:line="240" w:lineRule="auto"/>
        <w:jc w:val="both"/>
        <w:rPr>
          <w:rFonts w:cstheme="minorHAnsi"/>
          <w:b/>
          <w:u w:val="single"/>
        </w:rPr>
      </w:pPr>
      <w:r w:rsidRPr="00F90C5D">
        <w:rPr>
          <w:rFonts w:cstheme="minorHAnsi"/>
          <w:b/>
          <w:u w:val="single"/>
        </w:rPr>
        <w:t>1.1 Create a plan for reinstating outside work in a phased way</w:t>
      </w:r>
    </w:p>
    <w:p w14:paraId="0C5F1EC0" w14:textId="77777777" w:rsidR="00343E17" w:rsidRPr="00E13965" w:rsidRDefault="00564F74" w:rsidP="00A94DF6">
      <w:pPr>
        <w:numPr>
          <w:ilvl w:val="0"/>
          <w:numId w:val="24"/>
        </w:numPr>
        <w:spacing w:before="240" w:line="240" w:lineRule="auto"/>
        <w:ind w:left="426"/>
        <w:jc w:val="both"/>
        <w:rPr>
          <w:rFonts w:cstheme="minorHAnsi"/>
        </w:rPr>
      </w:pPr>
      <w:r w:rsidRPr="00564F74">
        <w:rPr>
          <w:rFonts w:cstheme="minorHAnsi"/>
        </w:rPr>
        <w:t xml:space="preserve">Collate a list of </w:t>
      </w:r>
      <w:r w:rsidR="00902952">
        <w:rPr>
          <w:rFonts w:cstheme="minorHAnsi"/>
        </w:rPr>
        <w:t>organisations</w:t>
      </w:r>
      <w:r w:rsidR="009C47EF">
        <w:rPr>
          <w:rFonts w:cstheme="minorHAnsi"/>
        </w:rPr>
        <w:t xml:space="preserve"> </w:t>
      </w:r>
      <w:r w:rsidRPr="00564F74">
        <w:rPr>
          <w:rFonts w:cstheme="minorHAnsi"/>
        </w:rPr>
        <w:t>formerly providing ROTL placements</w:t>
      </w:r>
      <w:r w:rsidR="00956313">
        <w:rPr>
          <w:rFonts w:cstheme="minorHAnsi"/>
        </w:rPr>
        <w:t xml:space="preserve"> </w:t>
      </w:r>
      <w:r w:rsidR="0059449D">
        <w:rPr>
          <w:rFonts w:cstheme="minorHAnsi"/>
        </w:rPr>
        <w:t>- this</w:t>
      </w:r>
      <w:r w:rsidR="000A4796">
        <w:rPr>
          <w:rFonts w:cstheme="minorHAnsi"/>
        </w:rPr>
        <w:t xml:space="preserve"> reduces the need for new assessments to be made of the employer and eligible staff.</w:t>
      </w:r>
      <w:r w:rsidR="00D60E51">
        <w:rPr>
          <w:rFonts w:cstheme="minorHAnsi"/>
        </w:rPr>
        <w:t xml:space="preserve"> If you require support regarding employers, contact the </w:t>
      </w:r>
      <w:hyperlink r:id="rId17" w:history="1">
        <w:r w:rsidR="00D60E51" w:rsidRPr="00360D01">
          <w:rPr>
            <w:rStyle w:val="Hyperlink"/>
            <w:rFonts w:cstheme="minorHAnsi"/>
          </w:rPr>
          <w:t>New Futures Network</w:t>
        </w:r>
      </w:hyperlink>
      <w:r w:rsidR="00D60E51">
        <w:rPr>
          <w:rFonts w:cstheme="minorHAnsi"/>
        </w:rPr>
        <w:t xml:space="preserve"> </w:t>
      </w:r>
      <w:r w:rsidR="00C863CB">
        <w:rPr>
          <w:rFonts w:cstheme="minorHAnsi"/>
        </w:rPr>
        <w:t xml:space="preserve">(NFN) </w:t>
      </w:r>
      <w:r w:rsidR="00D60E51">
        <w:rPr>
          <w:rFonts w:cstheme="minorHAnsi"/>
        </w:rPr>
        <w:t>Employment</w:t>
      </w:r>
      <w:r w:rsidR="00C863CB">
        <w:rPr>
          <w:rFonts w:cstheme="minorHAnsi"/>
        </w:rPr>
        <w:t xml:space="preserve"> </w:t>
      </w:r>
      <w:r w:rsidR="00D60E51">
        <w:rPr>
          <w:rFonts w:cstheme="minorHAnsi"/>
        </w:rPr>
        <w:t>Broker in your region (information</w:t>
      </w:r>
      <w:r w:rsidR="00360D01">
        <w:rPr>
          <w:rFonts w:cstheme="minorHAnsi"/>
        </w:rPr>
        <w:t xml:space="preserve"> also</w:t>
      </w:r>
      <w:r w:rsidR="00D60E51">
        <w:rPr>
          <w:rFonts w:cstheme="minorHAnsi"/>
        </w:rPr>
        <w:t xml:space="preserve"> available from PGD). </w:t>
      </w:r>
      <w:r w:rsidR="003A581D">
        <w:rPr>
          <w:rFonts w:cstheme="minorHAnsi"/>
        </w:rPr>
        <w:t xml:space="preserve">This list should also take account of the businesses that can re-open according to Government guidance. </w:t>
      </w:r>
    </w:p>
    <w:p w14:paraId="382B7628" w14:textId="77777777" w:rsidR="00D60E51" w:rsidRDefault="00B011F7" w:rsidP="00242FD9">
      <w:pPr>
        <w:numPr>
          <w:ilvl w:val="0"/>
          <w:numId w:val="24"/>
        </w:numPr>
        <w:spacing w:before="240" w:line="240" w:lineRule="auto"/>
        <w:ind w:left="426"/>
        <w:jc w:val="both"/>
        <w:rPr>
          <w:rFonts w:cstheme="minorHAnsi"/>
        </w:rPr>
      </w:pPr>
      <w:r>
        <w:rPr>
          <w:rFonts w:cstheme="minorHAnsi"/>
        </w:rPr>
        <w:t>From the list of organisations</w:t>
      </w:r>
      <w:r w:rsidR="000A4796">
        <w:rPr>
          <w:rFonts w:cstheme="minorHAnsi"/>
        </w:rPr>
        <w:t xml:space="preserve">, </w:t>
      </w:r>
      <w:r w:rsidR="00343E17" w:rsidRPr="00E13965">
        <w:rPr>
          <w:rFonts w:cstheme="minorHAnsi"/>
        </w:rPr>
        <w:t xml:space="preserve">categorise </w:t>
      </w:r>
      <w:r>
        <w:rPr>
          <w:rFonts w:cstheme="minorHAnsi"/>
        </w:rPr>
        <w:t>those</w:t>
      </w:r>
      <w:r w:rsidR="00343E17" w:rsidRPr="00E13965">
        <w:rPr>
          <w:rFonts w:cstheme="minorHAnsi"/>
        </w:rPr>
        <w:t xml:space="preserve"> that </w:t>
      </w:r>
      <w:r w:rsidR="003A581D">
        <w:rPr>
          <w:rFonts w:cstheme="minorHAnsi"/>
        </w:rPr>
        <w:t>can be reached</w:t>
      </w:r>
      <w:r w:rsidR="00343E17" w:rsidRPr="00E13965">
        <w:rPr>
          <w:rFonts w:cstheme="minorHAnsi"/>
        </w:rPr>
        <w:t xml:space="preserve"> </w:t>
      </w:r>
      <w:r w:rsidR="003A581D">
        <w:rPr>
          <w:rFonts w:cstheme="minorHAnsi"/>
        </w:rPr>
        <w:t xml:space="preserve">by personal transport such as bicycle or </w:t>
      </w:r>
      <w:r w:rsidR="00343E17" w:rsidRPr="00E13965">
        <w:rPr>
          <w:rFonts w:cstheme="minorHAnsi"/>
        </w:rPr>
        <w:t>car;</w:t>
      </w:r>
      <w:r w:rsidR="003A581D">
        <w:rPr>
          <w:rFonts w:cstheme="minorHAnsi"/>
        </w:rPr>
        <w:t xml:space="preserve"> by foot; by shared transport; or</w:t>
      </w:r>
      <w:r w:rsidR="00343E17" w:rsidRPr="00E13965">
        <w:rPr>
          <w:rFonts w:cstheme="minorHAnsi"/>
        </w:rPr>
        <w:t xml:space="preserve"> by public transport. </w:t>
      </w:r>
      <w:r w:rsidR="00956313">
        <w:rPr>
          <w:rFonts w:cstheme="minorHAnsi"/>
        </w:rPr>
        <w:t>F</w:t>
      </w:r>
      <w:r w:rsidR="005B2C88">
        <w:rPr>
          <w:rFonts w:cstheme="minorHAnsi"/>
        </w:rPr>
        <w:t xml:space="preserve">irst </w:t>
      </w:r>
      <w:r w:rsidR="000F778F">
        <w:rPr>
          <w:rFonts w:cstheme="minorHAnsi"/>
        </w:rPr>
        <w:t xml:space="preserve">contact employers that </w:t>
      </w:r>
      <w:r w:rsidR="00956313">
        <w:rPr>
          <w:rFonts w:cstheme="minorHAnsi"/>
        </w:rPr>
        <w:t xml:space="preserve">can be reached without </w:t>
      </w:r>
      <w:r w:rsidR="000F778F">
        <w:rPr>
          <w:rFonts w:cstheme="minorHAnsi"/>
        </w:rPr>
        <w:t xml:space="preserve">the need for shared </w:t>
      </w:r>
      <w:r w:rsidR="00242FD9">
        <w:rPr>
          <w:rFonts w:cstheme="minorHAnsi"/>
        </w:rPr>
        <w:t xml:space="preserve">or public </w:t>
      </w:r>
      <w:r w:rsidR="000F778F">
        <w:rPr>
          <w:rFonts w:cstheme="minorHAnsi"/>
        </w:rPr>
        <w:t>transport.</w:t>
      </w:r>
      <w:r w:rsidR="003A581D">
        <w:rPr>
          <w:rFonts w:cstheme="minorHAnsi"/>
        </w:rPr>
        <w:t xml:space="preserve"> Placements that can be reached by shared transport should then be pri</w:t>
      </w:r>
      <w:r w:rsidR="00B66465">
        <w:rPr>
          <w:rFonts w:cstheme="minorHAnsi"/>
        </w:rPr>
        <w:t>orit</w:t>
      </w:r>
      <w:r w:rsidR="009138D6">
        <w:rPr>
          <w:rFonts w:cstheme="minorHAnsi"/>
        </w:rPr>
        <w:t>ised over public transport</w:t>
      </w:r>
      <w:r w:rsidR="0066278B">
        <w:rPr>
          <w:rFonts w:cstheme="minorHAnsi"/>
        </w:rPr>
        <w:t>. The use</w:t>
      </w:r>
      <w:r w:rsidR="004E56C0">
        <w:rPr>
          <w:rFonts w:cstheme="minorHAnsi"/>
        </w:rPr>
        <w:t xml:space="preserve"> and provision</w:t>
      </w:r>
      <w:r w:rsidR="0066278B">
        <w:rPr>
          <w:rFonts w:cstheme="minorHAnsi"/>
        </w:rPr>
        <w:t xml:space="preserve"> of PPE and </w:t>
      </w:r>
      <w:r w:rsidR="004E56C0">
        <w:rPr>
          <w:rFonts w:cstheme="minorHAnsi"/>
        </w:rPr>
        <w:t>face coverings</w:t>
      </w:r>
      <w:r w:rsidR="0066278B">
        <w:rPr>
          <w:rFonts w:cstheme="minorHAnsi"/>
        </w:rPr>
        <w:t xml:space="preserve"> should </w:t>
      </w:r>
      <w:r>
        <w:rPr>
          <w:rFonts w:cstheme="minorHAnsi"/>
        </w:rPr>
        <w:t xml:space="preserve">be </w:t>
      </w:r>
      <w:r w:rsidR="0066278B">
        <w:rPr>
          <w:rFonts w:cstheme="minorHAnsi"/>
        </w:rPr>
        <w:t>addressed during planning</w:t>
      </w:r>
      <w:r>
        <w:rPr>
          <w:rFonts w:cstheme="minorHAnsi"/>
        </w:rPr>
        <w:t xml:space="preserve"> stages</w:t>
      </w:r>
      <w:r w:rsidR="0066278B">
        <w:rPr>
          <w:rFonts w:cstheme="minorHAnsi"/>
        </w:rPr>
        <w:t xml:space="preserve">. </w:t>
      </w:r>
    </w:p>
    <w:p w14:paraId="76609E2A" w14:textId="77777777" w:rsidR="00C06D2F" w:rsidRDefault="00C06D2F" w:rsidP="00242FD9">
      <w:pPr>
        <w:numPr>
          <w:ilvl w:val="0"/>
          <w:numId w:val="24"/>
        </w:numPr>
        <w:spacing w:before="240" w:line="240" w:lineRule="auto"/>
        <w:ind w:left="426"/>
        <w:jc w:val="both"/>
        <w:rPr>
          <w:rFonts w:cstheme="minorHAnsi"/>
        </w:rPr>
      </w:pPr>
      <w:r>
        <w:rPr>
          <w:rFonts w:cstheme="minorHAnsi"/>
        </w:rPr>
        <w:t xml:space="preserve">Alongside the list of </w:t>
      </w:r>
      <w:r w:rsidR="00B011F7">
        <w:rPr>
          <w:rFonts w:cstheme="minorHAnsi"/>
        </w:rPr>
        <w:t>organisation</w:t>
      </w:r>
      <w:r>
        <w:rPr>
          <w:rFonts w:cstheme="minorHAnsi"/>
        </w:rPr>
        <w:t xml:space="preserve">s, outline the number of </w:t>
      </w:r>
      <w:r w:rsidRPr="00C06D2F">
        <w:rPr>
          <w:rFonts w:cstheme="minorHAnsi"/>
        </w:rPr>
        <w:t xml:space="preserve">individuals who had </w:t>
      </w:r>
      <w:r>
        <w:rPr>
          <w:rFonts w:cstheme="minorHAnsi"/>
        </w:rPr>
        <w:t xml:space="preserve">previously </w:t>
      </w:r>
      <w:r w:rsidRPr="00C06D2F">
        <w:rPr>
          <w:rFonts w:cstheme="minorHAnsi"/>
        </w:rPr>
        <w:t>taken up placements.</w:t>
      </w:r>
      <w:r>
        <w:rPr>
          <w:rFonts w:cstheme="minorHAnsi"/>
        </w:rPr>
        <w:t xml:space="preserve"> Consider prioritising</w:t>
      </w:r>
      <w:r w:rsidR="005B2C88">
        <w:rPr>
          <w:rFonts w:cstheme="minorHAnsi"/>
        </w:rPr>
        <w:t xml:space="preserve"> contacting</w:t>
      </w:r>
      <w:r>
        <w:rPr>
          <w:rFonts w:cstheme="minorHAnsi"/>
        </w:rPr>
        <w:t xml:space="preserve"> </w:t>
      </w:r>
      <w:r w:rsidR="00B011F7">
        <w:rPr>
          <w:rFonts w:cstheme="minorHAnsi"/>
        </w:rPr>
        <w:t>organisations</w:t>
      </w:r>
      <w:r>
        <w:rPr>
          <w:rFonts w:cstheme="minorHAnsi"/>
        </w:rPr>
        <w:t xml:space="preserve"> offering placements to smaller numbers of individuals, to assist with managing social distancing measures regarding discharge, coordinating transportation and return to the prison. </w:t>
      </w:r>
    </w:p>
    <w:p w14:paraId="73A0B5F4" w14:textId="77777777" w:rsidR="001A2CE1" w:rsidRPr="001A2CE1" w:rsidRDefault="001A2CE1" w:rsidP="001A2CE1">
      <w:pPr>
        <w:numPr>
          <w:ilvl w:val="0"/>
          <w:numId w:val="24"/>
        </w:numPr>
        <w:spacing w:before="240" w:line="240" w:lineRule="auto"/>
        <w:ind w:left="426"/>
        <w:jc w:val="both"/>
        <w:rPr>
          <w:rFonts w:cstheme="minorHAnsi"/>
        </w:rPr>
      </w:pPr>
      <w:r>
        <w:rPr>
          <w:rFonts w:cstheme="minorHAnsi"/>
        </w:rPr>
        <w:t xml:space="preserve">Phased reintroduction should </w:t>
      </w:r>
      <w:r>
        <w:rPr>
          <w:rFonts w:cs="Arial"/>
        </w:rPr>
        <w:t xml:space="preserve">be aligned with the stages outlined in the </w:t>
      </w:r>
      <w:hyperlink r:id="rId18" w:history="1">
        <w:r w:rsidRPr="000955C5">
          <w:rPr>
            <w:rStyle w:val="Hyperlink"/>
            <w:rFonts w:cs="Arial"/>
          </w:rPr>
          <w:t>National Framework for Prison Regimes and Services</w:t>
        </w:r>
      </w:hyperlink>
      <w:r>
        <w:rPr>
          <w:rFonts w:cs="Arial"/>
        </w:rPr>
        <w:t>.</w:t>
      </w:r>
    </w:p>
    <w:p w14:paraId="777145DA" w14:textId="77777777" w:rsidR="00343E17" w:rsidRPr="00DC1398" w:rsidRDefault="00343E17" w:rsidP="00242FD9">
      <w:pPr>
        <w:spacing w:line="240" w:lineRule="auto"/>
        <w:jc w:val="both"/>
        <w:rPr>
          <w:rFonts w:cstheme="minorHAnsi"/>
          <w:b/>
          <w:u w:val="single"/>
        </w:rPr>
      </w:pPr>
      <w:r w:rsidRPr="00DC1398">
        <w:rPr>
          <w:rFonts w:cstheme="minorHAnsi"/>
          <w:b/>
          <w:u w:val="single"/>
        </w:rPr>
        <w:t>1.2 Develop a local communications strategy for briefing prisoners and staff throughout the process</w:t>
      </w:r>
    </w:p>
    <w:p w14:paraId="4F91B1E8" w14:textId="77777777" w:rsidR="00DC1398" w:rsidRPr="00DC1398" w:rsidRDefault="00DC1398" w:rsidP="00DC1398">
      <w:pPr>
        <w:spacing w:line="240" w:lineRule="auto"/>
        <w:jc w:val="both"/>
        <w:rPr>
          <w:rFonts w:cstheme="minorHAnsi"/>
        </w:rPr>
      </w:pPr>
      <w:r w:rsidRPr="00DC1398">
        <w:rPr>
          <w:rFonts w:cstheme="minorHAnsi"/>
        </w:rPr>
        <w:t xml:space="preserve">Suggested messaging </w:t>
      </w:r>
      <w:r w:rsidR="00A764DE">
        <w:rPr>
          <w:rFonts w:cstheme="minorHAnsi"/>
        </w:rPr>
        <w:t xml:space="preserve">for first communication </w:t>
      </w:r>
      <w:r w:rsidRPr="00DC1398">
        <w:rPr>
          <w:rFonts w:cstheme="minorHAnsi"/>
        </w:rPr>
        <w:t>could include:</w:t>
      </w:r>
    </w:p>
    <w:p w14:paraId="2362F8E9" w14:textId="77777777" w:rsidR="00DC1398" w:rsidRPr="00F958C9" w:rsidRDefault="00DC1398" w:rsidP="00F958C9">
      <w:pPr>
        <w:spacing w:before="240" w:line="240" w:lineRule="auto"/>
        <w:ind w:left="426"/>
        <w:jc w:val="both"/>
        <w:rPr>
          <w:rFonts w:cstheme="minorHAnsi"/>
          <w:i/>
        </w:rPr>
      </w:pPr>
      <w:r w:rsidRPr="00F958C9">
        <w:rPr>
          <w:rFonts w:cstheme="minorHAnsi"/>
          <w:i/>
        </w:rPr>
        <w:t>The easing of nationwide lockdown is being undertaken in a phased way</w:t>
      </w:r>
      <w:r w:rsidR="00F958C9" w:rsidRPr="00F958C9">
        <w:rPr>
          <w:rFonts w:cstheme="minorHAnsi"/>
          <w:i/>
        </w:rPr>
        <w:t>, to minimise the spread of COVID-19</w:t>
      </w:r>
      <w:r w:rsidRPr="00F958C9">
        <w:rPr>
          <w:rFonts w:cstheme="minorHAnsi"/>
          <w:i/>
        </w:rPr>
        <w:t xml:space="preserve">. This is the </w:t>
      </w:r>
      <w:r w:rsidR="00F958C9" w:rsidRPr="00F958C9">
        <w:rPr>
          <w:rFonts w:cstheme="minorHAnsi"/>
          <w:i/>
        </w:rPr>
        <w:t>strategy</w:t>
      </w:r>
      <w:r w:rsidRPr="00F958C9">
        <w:rPr>
          <w:rFonts w:cstheme="minorHAnsi"/>
          <w:i/>
        </w:rPr>
        <w:t xml:space="preserve"> the prison is adopting to </w:t>
      </w:r>
      <w:r w:rsidR="00F958C9" w:rsidRPr="00F958C9">
        <w:rPr>
          <w:rFonts w:cstheme="minorHAnsi"/>
          <w:i/>
        </w:rPr>
        <w:t xml:space="preserve">return to </w:t>
      </w:r>
      <w:r w:rsidR="003A581D">
        <w:rPr>
          <w:rFonts w:cstheme="minorHAnsi"/>
          <w:i/>
        </w:rPr>
        <w:t>the operation of</w:t>
      </w:r>
      <w:r w:rsidR="00F958C9" w:rsidRPr="00F958C9">
        <w:rPr>
          <w:rFonts w:cstheme="minorHAnsi"/>
          <w:i/>
        </w:rPr>
        <w:t xml:space="preserve"> ROTL work placements, amongst other elements of the regime. </w:t>
      </w:r>
    </w:p>
    <w:p w14:paraId="26F3BE24" w14:textId="77777777" w:rsidR="00F958C9" w:rsidRDefault="00F958C9" w:rsidP="00F958C9">
      <w:pPr>
        <w:spacing w:before="240" w:line="240" w:lineRule="auto"/>
        <w:ind w:left="426"/>
        <w:jc w:val="both"/>
        <w:rPr>
          <w:rFonts w:cstheme="minorHAnsi"/>
          <w:i/>
        </w:rPr>
      </w:pPr>
      <w:r w:rsidRPr="00F958C9">
        <w:rPr>
          <w:rFonts w:cstheme="minorHAnsi"/>
          <w:i/>
        </w:rPr>
        <w:t xml:space="preserve">The approach will take into consideration the appetite of employers who are able to increase staffing levels if they are beginning to operate again, and </w:t>
      </w:r>
      <w:r w:rsidR="00956313">
        <w:rPr>
          <w:rFonts w:cstheme="minorHAnsi"/>
          <w:i/>
        </w:rPr>
        <w:t xml:space="preserve">that </w:t>
      </w:r>
      <w:r w:rsidRPr="00F958C9">
        <w:rPr>
          <w:rFonts w:cstheme="minorHAnsi"/>
          <w:i/>
        </w:rPr>
        <w:t>of individuals to return to work</w:t>
      </w:r>
      <w:r w:rsidR="00956313">
        <w:rPr>
          <w:rFonts w:cstheme="minorHAnsi"/>
          <w:i/>
        </w:rPr>
        <w:t xml:space="preserve"> in the community</w:t>
      </w:r>
      <w:r w:rsidRPr="00F958C9">
        <w:rPr>
          <w:rFonts w:cstheme="minorHAnsi"/>
          <w:i/>
        </w:rPr>
        <w:t xml:space="preserve">. This must be balanced alongside the staff levels </w:t>
      </w:r>
      <w:r>
        <w:rPr>
          <w:rFonts w:cstheme="minorHAnsi"/>
          <w:i/>
        </w:rPr>
        <w:t xml:space="preserve">within prisons that are </w:t>
      </w:r>
      <w:r w:rsidRPr="00F958C9">
        <w:rPr>
          <w:rFonts w:cstheme="minorHAnsi"/>
          <w:i/>
        </w:rPr>
        <w:t>needed to manage the process safely and effectively. [</w:t>
      </w:r>
      <w:r w:rsidR="003A581D">
        <w:rPr>
          <w:rFonts w:cstheme="minorHAnsi"/>
          <w:i/>
        </w:rPr>
        <w:t>To include any relevant f</w:t>
      </w:r>
      <w:r w:rsidRPr="00F958C9">
        <w:rPr>
          <w:rFonts w:cstheme="minorHAnsi"/>
          <w:i/>
        </w:rPr>
        <w:t>urther explanation of any pressures faced</w:t>
      </w:r>
      <w:r w:rsidR="00CE0594">
        <w:rPr>
          <w:rFonts w:cstheme="minorHAnsi"/>
          <w:i/>
        </w:rPr>
        <w:t xml:space="preserve"> by prison</w:t>
      </w:r>
      <w:r w:rsidR="003A581D">
        <w:rPr>
          <w:rFonts w:cstheme="minorHAnsi"/>
          <w:i/>
        </w:rPr>
        <w:t xml:space="preserve"> – </w:t>
      </w:r>
      <w:proofErr w:type="spellStart"/>
      <w:r w:rsidR="003A581D">
        <w:rPr>
          <w:rFonts w:cstheme="minorHAnsi"/>
          <w:i/>
        </w:rPr>
        <w:t>eg</w:t>
      </w:r>
      <w:proofErr w:type="spellEnd"/>
      <w:r w:rsidR="003A581D">
        <w:rPr>
          <w:rFonts w:cstheme="minorHAnsi"/>
          <w:i/>
        </w:rPr>
        <w:t>. managing staff resources needed to oversee placements</w:t>
      </w:r>
      <w:r w:rsidRPr="00F958C9">
        <w:rPr>
          <w:rFonts w:cstheme="minorHAnsi"/>
          <w:i/>
        </w:rPr>
        <w:t>.]</w:t>
      </w:r>
    </w:p>
    <w:p w14:paraId="6FD22718" w14:textId="77777777" w:rsidR="00F958C9" w:rsidRDefault="00F958C9" w:rsidP="00F958C9">
      <w:pPr>
        <w:spacing w:before="240" w:line="240" w:lineRule="auto"/>
        <w:ind w:left="426"/>
        <w:jc w:val="both"/>
        <w:rPr>
          <w:rFonts w:cstheme="minorHAnsi"/>
          <w:i/>
        </w:rPr>
      </w:pPr>
      <w:r>
        <w:rPr>
          <w:rFonts w:cstheme="minorHAnsi"/>
          <w:i/>
        </w:rPr>
        <w:t>[</w:t>
      </w:r>
      <w:r w:rsidR="003A581D">
        <w:rPr>
          <w:rFonts w:cstheme="minorHAnsi"/>
          <w:i/>
        </w:rPr>
        <w:t>Prison to o</w:t>
      </w:r>
      <w:r>
        <w:rPr>
          <w:rFonts w:cstheme="minorHAnsi"/>
          <w:i/>
        </w:rPr>
        <w:t>utline any criteria used to choose employers</w:t>
      </w:r>
      <w:r w:rsidR="003A581D">
        <w:rPr>
          <w:rFonts w:cstheme="minorHAnsi"/>
          <w:i/>
        </w:rPr>
        <w:t>; including reference to Government guidelines on businesses that can reopen; consideration of social distancing and other health and safety measures related to COVID-19</w:t>
      </w:r>
      <w:r>
        <w:rPr>
          <w:rFonts w:cstheme="minorHAnsi"/>
          <w:i/>
        </w:rPr>
        <w:t>.]</w:t>
      </w:r>
    </w:p>
    <w:p w14:paraId="6C32B083" w14:textId="77777777" w:rsidR="00111A35" w:rsidRPr="00F958C9" w:rsidRDefault="00CE0594" w:rsidP="00111A35">
      <w:pPr>
        <w:spacing w:before="240" w:line="240" w:lineRule="auto"/>
        <w:ind w:left="426"/>
        <w:jc w:val="both"/>
        <w:rPr>
          <w:rFonts w:cstheme="minorHAnsi"/>
          <w:i/>
        </w:rPr>
      </w:pPr>
      <w:r>
        <w:rPr>
          <w:rFonts w:cstheme="minorHAnsi"/>
          <w:i/>
        </w:rPr>
        <w:t xml:space="preserve">Not every employer will be able to resume business as usual immediately. If for any reason an employer cannot take on all ROTL placements offered before COVID-19, it will be for the employer to </w:t>
      </w:r>
      <w:r w:rsidR="00111A35">
        <w:rPr>
          <w:rFonts w:cstheme="minorHAnsi"/>
          <w:i/>
        </w:rPr>
        <w:t>put forward</w:t>
      </w:r>
      <w:r>
        <w:rPr>
          <w:rFonts w:cstheme="minorHAnsi"/>
          <w:i/>
        </w:rPr>
        <w:t xml:space="preserve"> which staff they wish to take on </w:t>
      </w:r>
      <w:r w:rsidR="00956313">
        <w:rPr>
          <w:rFonts w:cstheme="minorHAnsi"/>
          <w:i/>
        </w:rPr>
        <w:t xml:space="preserve">and </w:t>
      </w:r>
      <w:r>
        <w:rPr>
          <w:rFonts w:cstheme="minorHAnsi"/>
          <w:i/>
        </w:rPr>
        <w:t>at which time</w:t>
      </w:r>
      <w:r w:rsidR="00111A35">
        <w:rPr>
          <w:rFonts w:cstheme="minorHAnsi"/>
          <w:i/>
        </w:rPr>
        <w:t xml:space="preserve">. Final decisions will be made following discussion with the Reducing Reoffending </w:t>
      </w:r>
      <w:r w:rsidR="00AF27E4">
        <w:rPr>
          <w:rFonts w:cstheme="minorHAnsi"/>
          <w:i/>
        </w:rPr>
        <w:t xml:space="preserve">and Offender Manager </w:t>
      </w:r>
      <w:r w:rsidR="00111A35">
        <w:rPr>
          <w:rFonts w:cstheme="minorHAnsi"/>
          <w:i/>
        </w:rPr>
        <w:t>teams within the prison.</w:t>
      </w:r>
      <w:r>
        <w:rPr>
          <w:rFonts w:cstheme="minorHAnsi"/>
          <w:i/>
        </w:rPr>
        <w:t xml:space="preserve"> </w:t>
      </w:r>
      <w:r w:rsidR="00111A35">
        <w:rPr>
          <w:rFonts w:cstheme="minorHAnsi"/>
          <w:i/>
        </w:rPr>
        <w:t>As well as an assessment of health, individual c</w:t>
      </w:r>
      <w:r w:rsidR="00111A35" w:rsidRPr="00111A35">
        <w:rPr>
          <w:rFonts w:cstheme="minorHAnsi"/>
          <w:i/>
        </w:rPr>
        <w:t xml:space="preserve">onduct during the lockdown will determine access to </w:t>
      </w:r>
      <w:r w:rsidR="005C50E4">
        <w:rPr>
          <w:rFonts w:cstheme="minorHAnsi"/>
          <w:i/>
        </w:rPr>
        <w:t>workplace ROTL</w:t>
      </w:r>
      <w:r w:rsidR="00111A35" w:rsidRPr="00111A35">
        <w:rPr>
          <w:rFonts w:cstheme="minorHAnsi"/>
          <w:i/>
        </w:rPr>
        <w:t>.</w:t>
      </w:r>
    </w:p>
    <w:p w14:paraId="6FAA87E6" w14:textId="77777777" w:rsidR="00564F74" w:rsidRPr="00F90C5D" w:rsidRDefault="00564F74" w:rsidP="00242FD9">
      <w:pPr>
        <w:spacing w:line="240" w:lineRule="auto"/>
        <w:jc w:val="both"/>
        <w:rPr>
          <w:rFonts w:cstheme="minorHAnsi"/>
          <w:b/>
          <w:u w:val="single"/>
        </w:rPr>
      </w:pPr>
      <w:r w:rsidRPr="00F90C5D">
        <w:rPr>
          <w:rFonts w:cstheme="minorHAnsi"/>
          <w:b/>
          <w:u w:val="single"/>
        </w:rPr>
        <w:lastRenderedPageBreak/>
        <w:t xml:space="preserve">1.3 Design a local process for assessing the </w:t>
      </w:r>
      <w:r w:rsidR="00674C7D">
        <w:rPr>
          <w:rFonts w:cstheme="minorHAnsi"/>
          <w:b/>
          <w:u w:val="single"/>
        </w:rPr>
        <w:t>effectiveness</w:t>
      </w:r>
      <w:r w:rsidR="00674C7D" w:rsidRPr="00F90C5D">
        <w:rPr>
          <w:rFonts w:cstheme="minorHAnsi"/>
          <w:b/>
          <w:u w:val="single"/>
        </w:rPr>
        <w:t xml:space="preserve"> </w:t>
      </w:r>
      <w:r w:rsidRPr="00F90C5D">
        <w:rPr>
          <w:rFonts w:cstheme="minorHAnsi"/>
          <w:b/>
          <w:u w:val="single"/>
        </w:rPr>
        <w:t xml:space="preserve">of each placement’s social distancing and COVID-19 controls to determine suitability for reinstatement </w:t>
      </w:r>
    </w:p>
    <w:p w14:paraId="7C2C7B8F" w14:textId="77777777" w:rsidR="00D47FF7" w:rsidRPr="00D47FF7" w:rsidRDefault="00D47FF7" w:rsidP="00AF27E4">
      <w:pPr>
        <w:numPr>
          <w:ilvl w:val="0"/>
          <w:numId w:val="24"/>
        </w:numPr>
        <w:spacing w:before="240" w:line="240" w:lineRule="auto"/>
        <w:ind w:left="426"/>
        <w:jc w:val="both"/>
        <w:rPr>
          <w:rFonts w:cstheme="minorHAnsi"/>
        </w:rPr>
      </w:pPr>
      <w:r>
        <w:rPr>
          <w:rFonts w:cstheme="minorHAnsi"/>
        </w:rPr>
        <w:t>T</w:t>
      </w:r>
      <w:r w:rsidRPr="00E13965">
        <w:rPr>
          <w:rFonts w:cstheme="minorHAnsi"/>
        </w:rPr>
        <w:t>he size of the organisa</w:t>
      </w:r>
      <w:r>
        <w:rPr>
          <w:rFonts w:cstheme="minorHAnsi"/>
        </w:rPr>
        <w:t xml:space="preserve">tion could be a factor in determining the safety of individuals - </w:t>
      </w:r>
      <w:r w:rsidRPr="00E13965">
        <w:rPr>
          <w:rFonts w:cstheme="minorHAnsi"/>
        </w:rPr>
        <w:t>more staff at a site could increase exposure to COVID-19.</w:t>
      </w:r>
    </w:p>
    <w:p w14:paraId="518D2AA3" w14:textId="77777777" w:rsidR="00B032AE" w:rsidRDefault="00B032AE" w:rsidP="00AF27E4">
      <w:pPr>
        <w:numPr>
          <w:ilvl w:val="0"/>
          <w:numId w:val="24"/>
        </w:numPr>
        <w:spacing w:before="240" w:line="240" w:lineRule="auto"/>
        <w:ind w:left="426"/>
        <w:jc w:val="both"/>
        <w:rPr>
          <w:rFonts w:cstheme="minorHAnsi"/>
        </w:rPr>
      </w:pPr>
      <w:r>
        <w:t>Prisons should have assurance that social distancing and infection control procedures (including hand hygiene) are in place at each placement.</w:t>
      </w:r>
    </w:p>
    <w:p w14:paraId="2FA99BA3" w14:textId="77777777" w:rsidR="00564F74" w:rsidRDefault="00564F74" w:rsidP="00AF27E4">
      <w:pPr>
        <w:numPr>
          <w:ilvl w:val="0"/>
          <w:numId w:val="24"/>
        </w:numPr>
        <w:spacing w:before="240" w:line="240" w:lineRule="auto"/>
        <w:ind w:left="426"/>
        <w:jc w:val="both"/>
        <w:rPr>
          <w:rFonts w:cstheme="minorHAnsi"/>
        </w:rPr>
      </w:pPr>
      <w:r>
        <w:rPr>
          <w:rFonts w:cstheme="minorHAnsi"/>
        </w:rPr>
        <w:t>Where relevant</w:t>
      </w:r>
      <w:r w:rsidR="006B6646">
        <w:rPr>
          <w:rFonts w:cstheme="minorHAnsi"/>
        </w:rPr>
        <w:t xml:space="preserve"> </w:t>
      </w:r>
      <w:r>
        <w:rPr>
          <w:rFonts w:cstheme="minorHAnsi"/>
        </w:rPr>
        <w:t xml:space="preserve">when speaking to employers, find out </w:t>
      </w:r>
      <w:r w:rsidRPr="00564F74">
        <w:rPr>
          <w:rFonts w:cstheme="minorHAnsi"/>
        </w:rPr>
        <w:t xml:space="preserve">what </w:t>
      </w:r>
      <w:r w:rsidR="006B7E22">
        <w:rPr>
          <w:rFonts w:cstheme="minorHAnsi"/>
        </w:rPr>
        <w:t xml:space="preserve">PPE </w:t>
      </w:r>
      <w:r w:rsidR="006B6646">
        <w:rPr>
          <w:rFonts w:cstheme="minorHAnsi"/>
        </w:rPr>
        <w:t>will be provided and what individuals should provide (assess if prisons are able to support this).</w:t>
      </w:r>
    </w:p>
    <w:p w14:paraId="18C48FB0" w14:textId="77777777" w:rsidR="00564F74" w:rsidRDefault="00564F74" w:rsidP="00AF27E4">
      <w:pPr>
        <w:numPr>
          <w:ilvl w:val="0"/>
          <w:numId w:val="24"/>
        </w:numPr>
        <w:spacing w:before="240" w:line="240" w:lineRule="auto"/>
        <w:ind w:left="426"/>
        <w:jc w:val="both"/>
        <w:rPr>
          <w:rFonts w:cstheme="minorHAnsi"/>
        </w:rPr>
      </w:pPr>
      <w:r w:rsidRPr="00564F74">
        <w:rPr>
          <w:rFonts w:cstheme="minorHAnsi"/>
        </w:rPr>
        <w:t>Employers should have a plan to communi</w:t>
      </w:r>
      <w:r>
        <w:rPr>
          <w:rFonts w:cstheme="minorHAnsi"/>
        </w:rPr>
        <w:t>cate social distancing and other safety/hygiene</w:t>
      </w:r>
      <w:r w:rsidRPr="00564F74">
        <w:rPr>
          <w:rFonts w:cstheme="minorHAnsi"/>
        </w:rPr>
        <w:t xml:space="preserve"> arrangements to prisoners returning to work. </w:t>
      </w:r>
    </w:p>
    <w:p w14:paraId="47C913C0" w14:textId="77777777" w:rsidR="00AD612C" w:rsidRDefault="00AD612C" w:rsidP="00AF27E4">
      <w:pPr>
        <w:numPr>
          <w:ilvl w:val="0"/>
          <w:numId w:val="24"/>
        </w:numPr>
        <w:spacing w:before="240" w:line="240" w:lineRule="auto"/>
        <w:ind w:left="426"/>
        <w:jc w:val="both"/>
        <w:rPr>
          <w:rFonts w:cstheme="minorHAnsi"/>
        </w:rPr>
      </w:pPr>
      <w:r>
        <w:rPr>
          <w:rFonts w:cstheme="minorHAnsi"/>
        </w:rPr>
        <w:t xml:space="preserve">Ensure prisoners are aware of the expectations in the workplace and how to inform an employer and the prison if the individual is concerned about adherence to policies. </w:t>
      </w:r>
    </w:p>
    <w:p w14:paraId="08078B2A" w14:textId="77777777" w:rsidR="00F90C5D" w:rsidRDefault="00F90C5D" w:rsidP="00AF27E4">
      <w:pPr>
        <w:spacing w:line="240" w:lineRule="auto"/>
        <w:jc w:val="both"/>
        <w:rPr>
          <w:rFonts w:cstheme="minorHAnsi"/>
          <w:b/>
          <w:u w:val="single"/>
        </w:rPr>
      </w:pPr>
      <w:bookmarkStart w:id="7" w:name="_Hlk40965819"/>
      <w:r w:rsidRPr="00F90C5D">
        <w:rPr>
          <w:rFonts w:cstheme="minorHAnsi"/>
          <w:b/>
          <w:u w:val="single"/>
        </w:rPr>
        <w:t>1.4 Design a sign-off process for approving each placement enabling it to re-commence</w:t>
      </w:r>
    </w:p>
    <w:p w14:paraId="247278A4" w14:textId="77777777" w:rsidR="0003406D" w:rsidRDefault="0003406D" w:rsidP="00AF27E4">
      <w:pPr>
        <w:numPr>
          <w:ilvl w:val="0"/>
          <w:numId w:val="24"/>
        </w:numPr>
        <w:spacing w:before="240" w:line="240" w:lineRule="auto"/>
        <w:ind w:left="426"/>
        <w:jc w:val="both"/>
        <w:rPr>
          <w:rFonts w:cstheme="minorHAnsi"/>
        </w:rPr>
      </w:pPr>
      <w:r>
        <w:rPr>
          <w:rFonts w:cstheme="minorHAnsi"/>
        </w:rPr>
        <w:t xml:space="preserve">This should include an assessment determining that individuals are willing and </w:t>
      </w:r>
      <w:r w:rsidR="00D11ECD">
        <w:rPr>
          <w:rFonts w:cstheme="minorHAnsi"/>
        </w:rPr>
        <w:t>fit for</w:t>
      </w:r>
      <w:r>
        <w:rPr>
          <w:rFonts w:cstheme="minorHAnsi"/>
        </w:rPr>
        <w:t xml:space="preserve"> work</w:t>
      </w:r>
      <w:r w:rsidR="00DF0B37">
        <w:rPr>
          <w:rFonts w:cstheme="minorHAnsi"/>
        </w:rPr>
        <w:t>.</w:t>
      </w:r>
      <w:r w:rsidR="003E32BC">
        <w:rPr>
          <w:rFonts w:cstheme="minorHAnsi"/>
        </w:rPr>
        <w:t xml:space="preserve"> Consideration should be given to an individual’s level of medical vulnerability, as assessed by health professionals. Whilst assessment templates</w:t>
      </w:r>
      <w:r w:rsidR="00650054">
        <w:rPr>
          <w:rFonts w:cstheme="minorHAnsi"/>
        </w:rPr>
        <w:t xml:space="preserve"> can be based on existing Health and Safety and Risk Assessments, these should be tailored to </w:t>
      </w:r>
      <w:r w:rsidR="0066278B">
        <w:rPr>
          <w:rFonts w:cstheme="minorHAnsi"/>
        </w:rPr>
        <w:t>address</w:t>
      </w:r>
      <w:r w:rsidR="00650054">
        <w:rPr>
          <w:rFonts w:cstheme="minorHAnsi"/>
        </w:rPr>
        <w:t xml:space="preserve"> COVID-19</w:t>
      </w:r>
      <w:r w:rsidR="0066278B">
        <w:rPr>
          <w:rFonts w:cstheme="minorHAnsi"/>
        </w:rPr>
        <w:t xml:space="preserve"> specific actions</w:t>
      </w:r>
      <w:r w:rsidR="00650054">
        <w:rPr>
          <w:rFonts w:cstheme="minorHAnsi"/>
        </w:rPr>
        <w:t xml:space="preserve">. </w:t>
      </w:r>
    </w:p>
    <w:p w14:paraId="568AEFC3" w14:textId="77777777" w:rsidR="0059449D" w:rsidRDefault="0059449D" w:rsidP="00AF27E4">
      <w:pPr>
        <w:numPr>
          <w:ilvl w:val="0"/>
          <w:numId w:val="24"/>
        </w:numPr>
        <w:spacing w:before="240" w:line="240" w:lineRule="auto"/>
        <w:ind w:left="426"/>
        <w:jc w:val="both"/>
        <w:rPr>
          <w:rFonts w:cstheme="minorHAnsi"/>
        </w:rPr>
      </w:pPr>
      <w:r>
        <w:rPr>
          <w:rFonts w:cstheme="minorHAnsi"/>
        </w:rPr>
        <w:t xml:space="preserve">It should include an assessment of points covered in 1.1 (distance </w:t>
      </w:r>
      <w:r w:rsidR="0085414D">
        <w:rPr>
          <w:rFonts w:cstheme="minorHAnsi"/>
        </w:rPr>
        <w:t xml:space="preserve">of employment placement </w:t>
      </w:r>
      <w:r>
        <w:rPr>
          <w:rFonts w:cstheme="minorHAnsi"/>
        </w:rPr>
        <w:t>from prison; suitability of work; number</w:t>
      </w:r>
      <w:r w:rsidR="0085414D">
        <w:rPr>
          <w:rFonts w:cstheme="minorHAnsi"/>
        </w:rPr>
        <w:t xml:space="preserve"> of individuals</w:t>
      </w:r>
      <w:r>
        <w:rPr>
          <w:rFonts w:cstheme="minorHAnsi"/>
        </w:rPr>
        <w:t xml:space="preserve"> required) and 1.3 (COVID-19 safety arrangements). </w:t>
      </w:r>
    </w:p>
    <w:p w14:paraId="2B1CF0EB" w14:textId="77777777" w:rsidR="00DF0B37" w:rsidRPr="00DF0B37" w:rsidRDefault="00DF0B37" w:rsidP="00DF0B37">
      <w:pPr>
        <w:numPr>
          <w:ilvl w:val="0"/>
          <w:numId w:val="24"/>
        </w:numPr>
        <w:spacing w:before="240" w:line="240" w:lineRule="auto"/>
        <w:ind w:left="426"/>
        <w:jc w:val="both"/>
        <w:rPr>
          <w:rFonts w:cstheme="minorHAnsi"/>
        </w:rPr>
      </w:pPr>
      <w:r>
        <w:rPr>
          <w:rFonts w:cstheme="minorHAnsi"/>
        </w:rPr>
        <w:t xml:space="preserve">If an employer has asked for more staff than are available, or if someone comes to the end of their </w:t>
      </w:r>
      <w:r w:rsidR="005C50E4">
        <w:rPr>
          <w:rFonts w:cstheme="minorHAnsi"/>
        </w:rPr>
        <w:t xml:space="preserve">custodial </w:t>
      </w:r>
      <w:r>
        <w:rPr>
          <w:rFonts w:cstheme="minorHAnsi"/>
        </w:rPr>
        <w:t>sentence and a placement becomes available, individuals who</w:t>
      </w:r>
      <w:r w:rsidR="006E6233">
        <w:rPr>
          <w:rFonts w:cstheme="minorHAnsi"/>
        </w:rPr>
        <w:t xml:space="preserve"> have already been assessed as suitable for </w:t>
      </w:r>
      <w:r>
        <w:rPr>
          <w:rFonts w:cstheme="minorHAnsi"/>
        </w:rPr>
        <w:t>ROTL and have not returned to work should be given the opportunity to take up a placement. This should</w:t>
      </w:r>
      <w:r w:rsidR="006E6233">
        <w:rPr>
          <w:rFonts w:cstheme="minorHAnsi"/>
        </w:rPr>
        <w:t xml:space="preserve"> happen following an assessment/interview </w:t>
      </w:r>
      <w:r>
        <w:rPr>
          <w:rFonts w:cstheme="minorHAnsi"/>
        </w:rPr>
        <w:t xml:space="preserve">carried out by the employer. Whilst limitations remain in place for visitors to prisons, a telephone interview with a candidate(s) should be facilitated where possible; or agreement could be reached with an employer to accept CVs instead. </w:t>
      </w:r>
    </w:p>
    <w:bookmarkEnd w:id="7"/>
    <w:p w14:paraId="1053427D" w14:textId="77777777" w:rsidR="00343E17" w:rsidRPr="00F90C5D" w:rsidRDefault="00564F74" w:rsidP="00AF27E4">
      <w:pPr>
        <w:spacing w:line="240" w:lineRule="auto"/>
        <w:jc w:val="both"/>
        <w:rPr>
          <w:rFonts w:cstheme="minorHAnsi"/>
          <w:b/>
          <w:u w:val="single"/>
        </w:rPr>
      </w:pPr>
      <w:r w:rsidRPr="00F90C5D">
        <w:rPr>
          <w:rFonts w:cstheme="minorHAnsi"/>
          <w:b/>
          <w:u w:val="single"/>
        </w:rPr>
        <w:t xml:space="preserve">1.5 Contact employers to discuss reinstating placements </w:t>
      </w:r>
    </w:p>
    <w:p w14:paraId="652A6417" w14:textId="77777777" w:rsidR="00F90C5D" w:rsidRDefault="00C121E6" w:rsidP="00AF27E4">
      <w:pPr>
        <w:numPr>
          <w:ilvl w:val="0"/>
          <w:numId w:val="24"/>
        </w:numPr>
        <w:spacing w:before="240" w:line="240" w:lineRule="auto"/>
        <w:ind w:left="426"/>
        <w:jc w:val="both"/>
        <w:rPr>
          <w:rFonts w:cstheme="minorHAnsi"/>
        </w:rPr>
      </w:pPr>
      <w:r>
        <w:rPr>
          <w:rFonts w:cstheme="minorHAnsi"/>
        </w:rPr>
        <w:t>Review employer websi</w:t>
      </w:r>
      <w:r w:rsidR="00611EC9">
        <w:rPr>
          <w:rFonts w:cstheme="minorHAnsi"/>
        </w:rPr>
        <w:t xml:space="preserve">te/communications to check if an organisation </w:t>
      </w:r>
      <w:r w:rsidR="0075125B">
        <w:rPr>
          <w:rFonts w:cstheme="minorHAnsi"/>
        </w:rPr>
        <w:t xml:space="preserve">is no longer </w:t>
      </w:r>
      <w:r w:rsidR="00611EC9">
        <w:rPr>
          <w:rFonts w:cstheme="minorHAnsi"/>
        </w:rPr>
        <w:t xml:space="preserve">in </w:t>
      </w:r>
      <w:r w:rsidR="0075125B">
        <w:rPr>
          <w:rFonts w:cstheme="minorHAnsi"/>
        </w:rPr>
        <w:t>operation. I</w:t>
      </w:r>
      <w:r>
        <w:rPr>
          <w:rFonts w:cstheme="minorHAnsi"/>
        </w:rPr>
        <w:t xml:space="preserve">f no information </w:t>
      </w:r>
      <w:r w:rsidR="0075125B">
        <w:rPr>
          <w:rFonts w:cstheme="minorHAnsi"/>
        </w:rPr>
        <w:t xml:space="preserve">is </w:t>
      </w:r>
      <w:r>
        <w:rPr>
          <w:rFonts w:cstheme="minorHAnsi"/>
        </w:rPr>
        <w:t>available</w:t>
      </w:r>
      <w:r w:rsidR="0075125B">
        <w:rPr>
          <w:rFonts w:cstheme="minorHAnsi"/>
        </w:rPr>
        <w:t xml:space="preserve"> about an employer resuming </w:t>
      </w:r>
      <w:r w:rsidR="00611EC9">
        <w:rPr>
          <w:rFonts w:cstheme="minorHAnsi"/>
        </w:rPr>
        <w:t>work</w:t>
      </w:r>
      <w:r>
        <w:rPr>
          <w:rFonts w:cstheme="minorHAnsi"/>
        </w:rPr>
        <w:t>, exercise sensitivity in the following: c</w:t>
      </w:r>
      <w:r w:rsidR="000A4796" w:rsidRPr="00E13965">
        <w:rPr>
          <w:rFonts w:cstheme="minorHAnsi"/>
        </w:rPr>
        <w:t xml:space="preserve">ontact employers </w:t>
      </w:r>
      <w:r w:rsidR="000A4796">
        <w:rPr>
          <w:rFonts w:cstheme="minorHAnsi"/>
        </w:rPr>
        <w:t>to find</w:t>
      </w:r>
      <w:r w:rsidR="000A4796" w:rsidRPr="00E13965">
        <w:rPr>
          <w:rFonts w:cstheme="minorHAnsi"/>
        </w:rPr>
        <w:t xml:space="preserve"> out if they are looking to resume ROTL; how many people they would take on; if the roles to be undertaken differ from previous roles</w:t>
      </w:r>
      <w:r w:rsidR="000A4796">
        <w:rPr>
          <w:rFonts w:cstheme="minorHAnsi"/>
        </w:rPr>
        <w:t xml:space="preserve"> offered</w:t>
      </w:r>
      <w:r w:rsidR="000A4796" w:rsidRPr="00E13965">
        <w:rPr>
          <w:rFonts w:cstheme="minorHAnsi"/>
        </w:rPr>
        <w:t xml:space="preserve"> (and assess whether they are sti</w:t>
      </w:r>
      <w:r w:rsidR="006E6233">
        <w:rPr>
          <w:rFonts w:cstheme="minorHAnsi"/>
        </w:rPr>
        <w:t xml:space="preserve">ll suitable for prisoners); </w:t>
      </w:r>
      <w:r w:rsidR="000A4796" w:rsidRPr="00E13965">
        <w:rPr>
          <w:rFonts w:cstheme="minorHAnsi"/>
        </w:rPr>
        <w:t>timings for return to work and working hours</w:t>
      </w:r>
      <w:r w:rsidR="006E6233">
        <w:rPr>
          <w:rFonts w:cstheme="minorHAnsi"/>
        </w:rPr>
        <w:t>.</w:t>
      </w:r>
      <w:r>
        <w:rPr>
          <w:rFonts w:cstheme="minorHAnsi"/>
        </w:rPr>
        <w:t xml:space="preserve"> </w:t>
      </w:r>
    </w:p>
    <w:p w14:paraId="264EA66A" w14:textId="77777777" w:rsidR="00F90C5D" w:rsidRPr="00F90C5D" w:rsidRDefault="006E6233" w:rsidP="00AF27E4">
      <w:pPr>
        <w:numPr>
          <w:ilvl w:val="0"/>
          <w:numId w:val="24"/>
        </w:numPr>
        <w:spacing w:before="240" w:line="240" w:lineRule="auto"/>
        <w:ind w:left="426"/>
        <w:jc w:val="both"/>
        <w:rPr>
          <w:rFonts w:cstheme="minorHAnsi"/>
        </w:rPr>
      </w:pPr>
      <w:r>
        <w:rPr>
          <w:rFonts w:cstheme="minorHAnsi"/>
        </w:rPr>
        <w:t xml:space="preserve">Discuss sign-off measures at 1.4, including on suitability and availability to take up work and health and safety regarding COVID-19. </w:t>
      </w:r>
      <w:r w:rsidR="00F90C5D" w:rsidRPr="00F90C5D">
        <w:rPr>
          <w:rFonts w:cstheme="minorHAnsi"/>
        </w:rPr>
        <w:t xml:space="preserve"> </w:t>
      </w:r>
    </w:p>
    <w:p w14:paraId="3253051A" w14:textId="77777777" w:rsidR="000A4796" w:rsidRDefault="00F90C5D" w:rsidP="00AF27E4">
      <w:pPr>
        <w:numPr>
          <w:ilvl w:val="0"/>
          <w:numId w:val="24"/>
        </w:numPr>
        <w:spacing w:before="240" w:line="240" w:lineRule="auto"/>
        <w:ind w:left="426"/>
        <w:jc w:val="both"/>
        <w:rPr>
          <w:rFonts w:cstheme="minorHAnsi"/>
        </w:rPr>
      </w:pPr>
      <w:r w:rsidRPr="0003406D">
        <w:rPr>
          <w:rFonts w:cstheme="minorHAnsi"/>
        </w:rPr>
        <w:t>There have been recent instances where prisoners have contacted employers directly to volunteer to return to work. Advise employers that prisoners are being discouraged to do this, and that to maintain the safety of the staff and residents in priso</w:t>
      </w:r>
      <w:r w:rsidR="00F958C9">
        <w:rPr>
          <w:rFonts w:cstheme="minorHAnsi"/>
        </w:rPr>
        <w:t xml:space="preserve">ns, as well as the community, </w:t>
      </w:r>
      <w:r w:rsidR="00F958C9">
        <w:rPr>
          <w:rFonts w:cstheme="minorHAnsi"/>
        </w:rPr>
        <w:lastRenderedPageBreak/>
        <w:t>prisons</w:t>
      </w:r>
      <w:r w:rsidRPr="0003406D">
        <w:rPr>
          <w:rFonts w:cstheme="minorHAnsi"/>
        </w:rPr>
        <w:t xml:space="preserve"> are adopting a phased approach to ensure social distancing and other safety measures </w:t>
      </w:r>
      <w:r w:rsidR="00F958C9">
        <w:rPr>
          <w:rFonts w:cstheme="minorHAnsi"/>
        </w:rPr>
        <w:t>are</w:t>
      </w:r>
      <w:r w:rsidRPr="0003406D">
        <w:rPr>
          <w:rFonts w:cstheme="minorHAnsi"/>
        </w:rPr>
        <w:t xml:space="preserve"> followed effectively.</w:t>
      </w:r>
    </w:p>
    <w:p w14:paraId="35F7930F" w14:textId="77777777" w:rsidR="00801F35" w:rsidRDefault="00985CC7" w:rsidP="00801F35">
      <w:pPr>
        <w:spacing w:before="240" w:line="240" w:lineRule="auto"/>
        <w:jc w:val="both"/>
        <w:rPr>
          <w:b/>
          <w:u w:val="single"/>
        </w:rPr>
      </w:pPr>
      <w:r w:rsidRPr="00985CC7">
        <w:rPr>
          <w:b/>
          <w:u w:val="single"/>
        </w:rPr>
        <w:t>1.</w:t>
      </w:r>
      <w:r>
        <w:rPr>
          <w:b/>
          <w:u w:val="single"/>
        </w:rPr>
        <w:t>7</w:t>
      </w:r>
      <w:r w:rsidRPr="00985CC7">
        <w:rPr>
          <w:b/>
          <w:u w:val="single"/>
        </w:rPr>
        <w:t xml:space="preserve"> Agree monitoring arrangements with each employer to include conditions for suspending placement </w:t>
      </w:r>
    </w:p>
    <w:p w14:paraId="75D16D67" w14:textId="77777777" w:rsidR="00601134" w:rsidRDefault="00305D7B" w:rsidP="00801F35">
      <w:pPr>
        <w:numPr>
          <w:ilvl w:val="0"/>
          <w:numId w:val="24"/>
        </w:numPr>
        <w:spacing w:before="240" w:line="240" w:lineRule="auto"/>
        <w:ind w:left="426"/>
        <w:jc w:val="both"/>
        <w:rPr>
          <w:rFonts w:cstheme="minorHAnsi"/>
        </w:rPr>
      </w:pPr>
      <w:r>
        <w:rPr>
          <w:rFonts w:cstheme="minorHAnsi"/>
        </w:rPr>
        <w:t xml:space="preserve">Prisons should ask employers to inform them if any of their staff have been confirmed </w:t>
      </w:r>
      <w:r w:rsidR="00FB77C7">
        <w:rPr>
          <w:rFonts w:cstheme="minorHAnsi"/>
        </w:rPr>
        <w:t xml:space="preserve">with COVID-19 and are in self-isolation. Where the risk of contact </w:t>
      </w:r>
      <w:r w:rsidR="00601134">
        <w:rPr>
          <w:rFonts w:cstheme="minorHAnsi"/>
        </w:rPr>
        <w:t xml:space="preserve">between these staff members and </w:t>
      </w:r>
      <w:r w:rsidR="00FB77C7">
        <w:rPr>
          <w:rFonts w:cstheme="minorHAnsi"/>
        </w:rPr>
        <w:t xml:space="preserve">with </w:t>
      </w:r>
      <w:r w:rsidR="00F76A7A">
        <w:rPr>
          <w:rFonts w:cstheme="minorHAnsi"/>
        </w:rPr>
        <w:t xml:space="preserve">individuals taking up ROTL placements is </w:t>
      </w:r>
      <w:r w:rsidR="0087470C">
        <w:rPr>
          <w:rFonts w:cstheme="minorHAnsi"/>
        </w:rPr>
        <w:t xml:space="preserve">determined as </w:t>
      </w:r>
      <w:r w:rsidR="00F76A7A">
        <w:rPr>
          <w:rFonts w:cstheme="minorHAnsi"/>
        </w:rPr>
        <w:t>low</w:t>
      </w:r>
      <w:r w:rsidR="0087470C">
        <w:rPr>
          <w:rFonts w:cstheme="minorHAnsi"/>
        </w:rPr>
        <w:t xml:space="preserve"> by the employer and prison</w:t>
      </w:r>
      <w:r w:rsidR="00F76A7A">
        <w:rPr>
          <w:rFonts w:cstheme="minorHAnsi"/>
        </w:rPr>
        <w:t xml:space="preserve">, </w:t>
      </w:r>
      <w:r w:rsidR="00076FB6">
        <w:rPr>
          <w:rFonts w:cstheme="minorHAnsi"/>
        </w:rPr>
        <w:t xml:space="preserve">ideally </w:t>
      </w:r>
      <w:r w:rsidR="00601134">
        <w:rPr>
          <w:rFonts w:cstheme="minorHAnsi"/>
        </w:rPr>
        <w:t>ROTL should continue</w:t>
      </w:r>
      <w:r w:rsidR="006E6233">
        <w:rPr>
          <w:rFonts w:cstheme="minorHAnsi"/>
        </w:rPr>
        <w:t xml:space="preserve"> if assessed as safe to do so</w:t>
      </w:r>
      <w:r w:rsidR="00601134">
        <w:rPr>
          <w:rFonts w:cstheme="minorHAnsi"/>
        </w:rPr>
        <w:t xml:space="preserve">. </w:t>
      </w:r>
    </w:p>
    <w:p w14:paraId="7E5F0924" w14:textId="77777777" w:rsidR="00714593" w:rsidRDefault="00CD0D5C" w:rsidP="00801F35">
      <w:pPr>
        <w:numPr>
          <w:ilvl w:val="0"/>
          <w:numId w:val="24"/>
        </w:numPr>
        <w:spacing w:before="240" w:line="240" w:lineRule="auto"/>
        <w:ind w:left="426"/>
        <w:jc w:val="both"/>
        <w:rPr>
          <w:rFonts w:cstheme="minorHAnsi"/>
        </w:rPr>
      </w:pPr>
      <w:r>
        <w:rPr>
          <w:rFonts w:cstheme="minorHAnsi"/>
        </w:rPr>
        <w:t>Similarly, where several individua</w:t>
      </w:r>
      <w:r w:rsidR="00E50E67">
        <w:rPr>
          <w:rFonts w:cstheme="minorHAnsi"/>
        </w:rPr>
        <w:t xml:space="preserve">ls are placed within a business, if one individual contracts COVID-19 this should not automatically mean that all placements are suspended. </w:t>
      </w:r>
      <w:r w:rsidR="004F6F2A">
        <w:rPr>
          <w:rFonts w:cstheme="minorHAnsi"/>
        </w:rPr>
        <w:t xml:space="preserve">Consideration should be given to the level of contact between individuals attending workplaces and health assessments. </w:t>
      </w:r>
    </w:p>
    <w:p w14:paraId="1EEEACAE" w14:textId="77777777" w:rsidR="002E6775" w:rsidRDefault="002E6775" w:rsidP="00801F35">
      <w:pPr>
        <w:numPr>
          <w:ilvl w:val="0"/>
          <w:numId w:val="24"/>
        </w:numPr>
        <w:spacing w:before="240" w:line="240" w:lineRule="auto"/>
        <w:ind w:left="426"/>
        <w:jc w:val="both"/>
        <w:rPr>
          <w:rFonts w:cstheme="minorHAnsi"/>
        </w:rPr>
      </w:pPr>
      <w:r>
        <w:rPr>
          <w:rFonts w:cstheme="minorHAnsi"/>
        </w:rPr>
        <w:t xml:space="preserve">If it becomes necessary to suspend a placement, employers should be contacted and spoken to by telephone so that a personal explanation can be given. Suspending the placement may be necessary for the prison but will cause disruption for the employer and maintaining a positive relationship for the future should be considered a priority. </w:t>
      </w:r>
    </w:p>
    <w:p w14:paraId="456359C4" w14:textId="77777777" w:rsidR="00AD612C" w:rsidRDefault="00AD612C" w:rsidP="00801F35">
      <w:pPr>
        <w:numPr>
          <w:ilvl w:val="0"/>
          <w:numId w:val="24"/>
        </w:numPr>
        <w:spacing w:before="240" w:line="240" w:lineRule="auto"/>
        <w:ind w:left="426"/>
        <w:jc w:val="both"/>
        <w:rPr>
          <w:rFonts w:cstheme="minorHAnsi"/>
        </w:rPr>
      </w:pPr>
      <w:r>
        <w:rPr>
          <w:rFonts w:cstheme="minorHAnsi"/>
        </w:rPr>
        <w:t>Prisoners should be provided information about who to contact if they are concerned they or anyone else they work with display COVID-19 symptoms. This should include details at their place of work and within the prison.</w:t>
      </w:r>
    </w:p>
    <w:p w14:paraId="0F7783C8" w14:textId="77777777" w:rsidR="00C67793" w:rsidRDefault="00C67793" w:rsidP="00C67793">
      <w:pPr>
        <w:rPr>
          <w:rFonts w:cs="Arial"/>
          <w:u w:val="single"/>
        </w:rPr>
      </w:pPr>
      <w:r>
        <w:rPr>
          <w:rFonts w:cs="Arial"/>
          <w:u w:val="single"/>
        </w:rPr>
        <w:t>Prison industries</w:t>
      </w:r>
    </w:p>
    <w:p w14:paraId="77073F62" w14:textId="77777777" w:rsidR="00C67793" w:rsidRPr="00FB77C7" w:rsidRDefault="00C67793" w:rsidP="00C67793">
      <w:pPr>
        <w:spacing w:before="240" w:line="240" w:lineRule="auto"/>
        <w:jc w:val="both"/>
        <w:rPr>
          <w:rFonts w:cstheme="minorHAnsi"/>
        </w:rPr>
      </w:pPr>
      <w:r>
        <w:rPr>
          <w:rFonts w:cs="Arial"/>
        </w:rPr>
        <w:t>Prison industries workshops within establishments in the open estate will be able to reopen once workplace ROTL begins. Refer to the separate Industries EDM for further guidance.</w:t>
      </w:r>
    </w:p>
    <w:sectPr w:rsidR="00C67793" w:rsidRPr="00FB77C7" w:rsidSect="006B6646">
      <w:pgSz w:w="11906" w:h="16838"/>
      <w:pgMar w:top="1440"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40DD2" w14:textId="77777777" w:rsidR="003D79E0" w:rsidRDefault="003D79E0" w:rsidP="00780C73">
      <w:pPr>
        <w:spacing w:after="0" w:line="240" w:lineRule="auto"/>
      </w:pPr>
      <w:r>
        <w:separator/>
      </w:r>
    </w:p>
  </w:endnote>
  <w:endnote w:type="continuationSeparator" w:id="0">
    <w:p w14:paraId="608F6465" w14:textId="77777777" w:rsidR="003D79E0" w:rsidRDefault="003D79E0" w:rsidP="0078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73FE0" w14:textId="77777777" w:rsidR="00175092" w:rsidRDefault="00175092">
    <w:pPr>
      <w:pStyle w:val="Footer"/>
    </w:pPr>
    <w:r>
      <w:rPr>
        <w:noProof/>
        <w:lang w:eastAsia="en-GB"/>
      </w:rPr>
      <w:drawing>
        <wp:anchor distT="0" distB="1778" distL="114300" distR="114300" simplePos="0" relativeHeight="251656192" behindDoc="1" locked="1" layoutInCell="1" allowOverlap="1" wp14:anchorId="6CDE4ABE" wp14:editId="26E649D8">
          <wp:simplePos x="0" y="0"/>
          <wp:positionH relativeFrom="page">
            <wp:align>left</wp:align>
          </wp:positionH>
          <wp:positionV relativeFrom="page">
            <wp:align>bottom</wp:align>
          </wp:positionV>
          <wp:extent cx="7560310" cy="2059432"/>
          <wp:effectExtent l="0" t="0" r="2540" b="0"/>
          <wp:wrapNone/>
          <wp:docPr id="5" name="Picture 1" descr="Cover page footer decorative background image." title="Cover page footer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page footer decorative background image." title="Cover page footer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20593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D9AE1" w14:textId="77777777" w:rsidR="003D79E0" w:rsidRDefault="003D79E0" w:rsidP="00780C73">
      <w:pPr>
        <w:spacing w:after="0" w:line="240" w:lineRule="auto"/>
      </w:pPr>
      <w:r>
        <w:separator/>
      </w:r>
    </w:p>
  </w:footnote>
  <w:footnote w:type="continuationSeparator" w:id="0">
    <w:p w14:paraId="23FCFF0C" w14:textId="77777777" w:rsidR="003D79E0" w:rsidRDefault="003D79E0" w:rsidP="00780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28AB1" w14:textId="77777777" w:rsidR="006C55F0" w:rsidRDefault="00B56D7E">
    <w:pPr>
      <w:pStyle w:val="Header"/>
    </w:pPr>
    <w:r>
      <w:rPr>
        <w:noProof/>
      </w:rPr>
      <w:pict w14:anchorId="492256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868172" o:spid="_x0000_s2051" type="#_x0000_t136" alt="" style="position:absolute;margin-left:0;margin-top:0;width:442.1pt;height:265.2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18605" w14:textId="71DE709F" w:rsidR="00175092" w:rsidRDefault="00175092">
    <w:pPr>
      <w:pStyle w:val="Header"/>
    </w:pPr>
    <w:r>
      <w:rPr>
        <w:noProof/>
        <w:lang w:eastAsia="en-GB"/>
      </w:rPr>
      <w:drawing>
        <wp:anchor distT="0" distB="0" distL="114300" distR="114300" simplePos="0" relativeHeight="251657216" behindDoc="1" locked="1" layoutInCell="1" allowOverlap="1" wp14:anchorId="63B53C57" wp14:editId="3AD8CDB7">
          <wp:simplePos x="0" y="0"/>
          <wp:positionH relativeFrom="page">
            <wp:align>left</wp:align>
          </wp:positionH>
          <wp:positionV relativeFrom="page">
            <wp:posOffset>1864995</wp:posOffset>
          </wp:positionV>
          <wp:extent cx="7560310" cy="6851015"/>
          <wp:effectExtent l="0" t="0" r="2540" b="0"/>
          <wp:wrapNone/>
          <wp:docPr id="8" name="Picture 2" descr="Cover page decorative background image" title="Cover page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page decorative background image" title="Cover page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68510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1" layoutInCell="1" allowOverlap="1" wp14:anchorId="2A58C5D7" wp14:editId="5EEB97EC">
          <wp:simplePos x="0" y="0"/>
          <wp:positionH relativeFrom="page">
            <wp:posOffset>118745</wp:posOffset>
          </wp:positionH>
          <wp:positionV relativeFrom="page">
            <wp:posOffset>0</wp:posOffset>
          </wp:positionV>
          <wp:extent cx="2609850" cy="1536700"/>
          <wp:effectExtent l="0" t="0" r="0" b="0"/>
          <wp:wrapTight wrapText="bothSides">
            <wp:wrapPolygon edited="0">
              <wp:start x="4099" y="6962"/>
              <wp:lineTo x="4099" y="20350"/>
              <wp:lineTo x="20654" y="20350"/>
              <wp:lineTo x="21127" y="18476"/>
              <wp:lineTo x="20181" y="17405"/>
              <wp:lineTo x="16555" y="16066"/>
              <wp:lineTo x="16870" y="13924"/>
              <wp:lineTo x="15609" y="13388"/>
              <wp:lineTo x="8672" y="11782"/>
              <wp:lineTo x="9145" y="10711"/>
              <wp:lineTo x="8829" y="9104"/>
              <wp:lineTo x="8041" y="6962"/>
              <wp:lineTo x="4099" y="6962"/>
            </wp:wrapPolygon>
          </wp:wrapTight>
          <wp:docPr id="7" name="Picture 34" descr="HM Prison &amp; Probation Service logo" title="HM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HM Prison &amp; Probation Service logo" title="HMPPS logo"/>
                  <pic:cNvPicPr/>
                </pic:nvPicPr>
                <pic:blipFill>
                  <a:blip r:embed="rId2">
                    <a:extLst>
                      <a:ext uri="{28A0092B-C50C-407E-A947-70E740481C1C}">
                        <a14:useLocalDpi xmlns:a14="http://schemas.microsoft.com/office/drawing/2010/main" val="0"/>
                      </a:ext>
                    </a:extLst>
                  </a:blip>
                  <a:stretch>
                    <a:fillRect/>
                  </a:stretch>
                </pic:blipFill>
                <pic:spPr>
                  <a:xfrm>
                    <a:off x="0" y="0"/>
                    <a:ext cx="2609850" cy="1536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4297"/>
    <w:multiLevelType w:val="hybridMultilevel"/>
    <w:tmpl w:val="E9B69584"/>
    <w:lvl w:ilvl="0" w:tplc="4D261B9E">
      <w:start w:val="1"/>
      <w:numFmt w:val="decimalZero"/>
      <w:lvlText w:val="%1."/>
      <w:lvlJc w:val="left"/>
      <w:pPr>
        <w:ind w:left="750" w:hanging="75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AD0B3D"/>
    <w:multiLevelType w:val="hybridMultilevel"/>
    <w:tmpl w:val="DBFE2CBC"/>
    <w:lvl w:ilvl="0" w:tplc="0809000F">
      <w:start w:val="1"/>
      <w:numFmt w:val="decimal"/>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 w15:restartNumberingAfterBreak="0">
    <w:nsid w:val="0D3E22B1"/>
    <w:multiLevelType w:val="hybridMultilevel"/>
    <w:tmpl w:val="D6B21958"/>
    <w:lvl w:ilvl="0" w:tplc="5CBAA7F0">
      <w:start w:val="1"/>
      <w:numFmt w:val="decimal"/>
      <w:lvlText w:val="%1."/>
      <w:lvlJc w:val="left"/>
      <w:pPr>
        <w:ind w:left="720" w:hanging="360"/>
      </w:pPr>
      <w:rPr>
        <w:rFonts w:ascii="Arial" w:hAnsi="Arial" w:cs="Aria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4C5AD6"/>
    <w:multiLevelType w:val="multilevel"/>
    <w:tmpl w:val="1AA6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22197"/>
    <w:multiLevelType w:val="hybridMultilevel"/>
    <w:tmpl w:val="A8D0A87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136CFD"/>
    <w:multiLevelType w:val="hybridMultilevel"/>
    <w:tmpl w:val="AF362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295BDD"/>
    <w:multiLevelType w:val="multilevel"/>
    <w:tmpl w:val="F54059E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0A687A"/>
    <w:multiLevelType w:val="hybridMultilevel"/>
    <w:tmpl w:val="AF362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2A5791"/>
    <w:multiLevelType w:val="hybridMultilevel"/>
    <w:tmpl w:val="4C8E3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C5AE1"/>
    <w:multiLevelType w:val="hybridMultilevel"/>
    <w:tmpl w:val="C4904DF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9124E12"/>
    <w:multiLevelType w:val="hybridMultilevel"/>
    <w:tmpl w:val="6352BA0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D62217"/>
    <w:multiLevelType w:val="hybridMultilevel"/>
    <w:tmpl w:val="BFC68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8D2F88"/>
    <w:multiLevelType w:val="hybridMultilevel"/>
    <w:tmpl w:val="7910F69A"/>
    <w:lvl w:ilvl="0" w:tplc="DCB253A0">
      <w:start w:val="1"/>
      <w:numFmt w:val="decimalZero"/>
      <w:lvlText w:val="%1."/>
      <w:lvlJc w:val="left"/>
      <w:pPr>
        <w:ind w:left="1410" w:hanging="10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A70E03"/>
    <w:multiLevelType w:val="hybridMultilevel"/>
    <w:tmpl w:val="8E94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2B1B9C"/>
    <w:multiLevelType w:val="hybridMultilevel"/>
    <w:tmpl w:val="4CA00CB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34E4849"/>
    <w:multiLevelType w:val="hybridMultilevel"/>
    <w:tmpl w:val="4E4E8B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4634E91"/>
    <w:multiLevelType w:val="multilevel"/>
    <w:tmpl w:val="AAAA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5471E6"/>
    <w:multiLevelType w:val="hybridMultilevel"/>
    <w:tmpl w:val="A8962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DC3305"/>
    <w:multiLevelType w:val="hybridMultilevel"/>
    <w:tmpl w:val="F5903982"/>
    <w:lvl w:ilvl="0" w:tplc="2810413C">
      <w:numFmt w:val="bullet"/>
      <w:lvlText w:val="-"/>
      <w:lvlJc w:val="left"/>
      <w:pPr>
        <w:ind w:left="2204" w:hanging="360"/>
      </w:pPr>
      <w:rPr>
        <w:rFonts w:ascii="Calibri" w:eastAsiaTheme="minorHAnsi" w:hAnsi="Calibri" w:cs="Calibri"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19" w15:restartNumberingAfterBreak="0">
    <w:nsid w:val="54AF7A99"/>
    <w:multiLevelType w:val="hybridMultilevel"/>
    <w:tmpl w:val="136A0A40"/>
    <w:lvl w:ilvl="0" w:tplc="281041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CF122A"/>
    <w:multiLevelType w:val="hybridMultilevel"/>
    <w:tmpl w:val="8634DCB0"/>
    <w:lvl w:ilvl="0" w:tplc="B54476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EE5A69"/>
    <w:multiLevelType w:val="hybridMultilevel"/>
    <w:tmpl w:val="6FB86370"/>
    <w:lvl w:ilvl="0" w:tplc="281041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6E0907"/>
    <w:multiLevelType w:val="hybridMultilevel"/>
    <w:tmpl w:val="1AE05814"/>
    <w:lvl w:ilvl="0" w:tplc="281041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C27E25"/>
    <w:multiLevelType w:val="multilevel"/>
    <w:tmpl w:val="508A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235F5A"/>
    <w:multiLevelType w:val="hybridMultilevel"/>
    <w:tmpl w:val="5148B15C"/>
    <w:lvl w:ilvl="0" w:tplc="CBB21BCC">
      <w:start w:val="1"/>
      <w:numFmt w:val="decimal"/>
      <w:lvlText w:val="%1."/>
      <w:lvlJc w:val="left"/>
      <w:pPr>
        <w:ind w:left="360" w:hanging="360"/>
      </w:pPr>
      <w:rPr>
        <w:rFonts w:ascii="Arial" w:hAnsi="Arial" w:cs="Arial" w:hint="default"/>
        <w:b w:val="0"/>
        <w:sz w:val="22"/>
        <w:szCs w:val="22"/>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D23815"/>
    <w:multiLevelType w:val="hybridMultilevel"/>
    <w:tmpl w:val="2E6A103A"/>
    <w:lvl w:ilvl="0" w:tplc="CC3A6B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60502C"/>
    <w:multiLevelType w:val="multilevel"/>
    <w:tmpl w:val="DD28EF0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AF54A8"/>
    <w:multiLevelType w:val="hybridMultilevel"/>
    <w:tmpl w:val="D8EEA4A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3"/>
  </w:num>
  <w:num w:numId="3">
    <w:abstractNumId w:val="23"/>
  </w:num>
  <w:num w:numId="4">
    <w:abstractNumId w:val="14"/>
  </w:num>
  <w:num w:numId="5">
    <w:abstractNumId w:val="9"/>
  </w:num>
  <w:num w:numId="6">
    <w:abstractNumId w:val="25"/>
  </w:num>
  <w:num w:numId="7">
    <w:abstractNumId w:val="2"/>
  </w:num>
  <w:num w:numId="8">
    <w:abstractNumId w:val="24"/>
  </w:num>
  <w:num w:numId="9">
    <w:abstractNumId w:val="10"/>
  </w:num>
  <w:num w:numId="10">
    <w:abstractNumId w:val="4"/>
  </w:num>
  <w:num w:numId="11">
    <w:abstractNumId w:val="7"/>
  </w:num>
  <w:num w:numId="12">
    <w:abstractNumId w:val="5"/>
  </w:num>
  <w:num w:numId="13">
    <w:abstractNumId w:val="11"/>
  </w:num>
  <w:num w:numId="14">
    <w:abstractNumId w:val="26"/>
  </w:num>
  <w:num w:numId="15">
    <w:abstractNumId w:val="6"/>
  </w:num>
  <w:num w:numId="16">
    <w:abstractNumId w:val="17"/>
  </w:num>
  <w:num w:numId="17">
    <w:abstractNumId w:val="27"/>
  </w:num>
  <w:num w:numId="18">
    <w:abstractNumId w:val="15"/>
  </w:num>
  <w:num w:numId="19">
    <w:abstractNumId w:val="8"/>
  </w:num>
  <w:num w:numId="20">
    <w:abstractNumId w:val="13"/>
  </w:num>
  <w:num w:numId="21">
    <w:abstractNumId w:val="12"/>
  </w:num>
  <w:num w:numId="22">
    <w:abstractNumId w:val="0"/>
  </w:num>
  <w:num w:numId="23">
    <w:abstractNumId w:val="1"/>
  </w:num>
  <w:num w:numId="24">
    <w:abstractNumId w:val="18"/>
  </w:num>
  <w:num w:numId="25">
    <w:abstractNumId w:val="19"/>
  </w:num>
  <w:num w:numId="26">
    <w:abstractNumId w:val="22"/>
  </w:num>
  <w:num w:numId="27">
    <w:abstractNumId w:val="2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EB"/>
    <w:rsid w:val="00003E44"/>
    <w:rsid w:val="0000579C"/>
    <w:rsid w:val="00011E2C"/>
    <w:rsid w:val="0003406D"/>
    <w:rsid w:val="00047C87"/>
    <w:rsid w:val="00051EAD"/>
    <w:rsid w:val="000565FC"/>
    <w:rsid w:val="000630E5"/>
    <w:rsid w:val="00076FB6"/>
    <w:rsid w:val="000955C5"/>
    <w:rsid w:val="000A0320"/>
    <w:rsid w:val="000A0B0C"/>
    <w:rsid w:val="000A4796"/>
    <w:rsid w:val="000B643F"/>
    <w:rsid w:val="000C6FB8"/>
    <w:rsid w:val="000D07E5"/>
    <w:rsid w:val="000E544C"/>
    <w:rsid w:val="000E7213"/>
    <w:rsid w:val="000F778F"/>
    <w:rsid w:val="00111A35"/>
    <w:rsid w:val="00111EA9"/>
    <w:rsid w:val="00112560"/>
    <w:rsid w:val="001238FF"/>
    <w:rsid w:val="0012661F"/>
    <w:rsid w:val="00140783"/>
    <w:rsid w:val="00153DEF"/>
    <w:rsid w:val="00174E1E"/>
    <w:rsid w:val="00175092"/>
    <w:rsid w:val="001808F1"/>
    <w:rsid w:val="001842C3"/>
    <w:rsid w:val="001A2CE1"/>
    <w:rsid w:val="001B4F94"/>
    <w:rsid w:val="001B5C73"/>
    <w:rsid w:val="001C1DED"/>
    <w:rsid w:val="001C40E2"/>
    <w:rsid w:val="001F39BF"/>
    <w:rsid w:val="001F4B2C"/>
    <w:rsid w:val="001F60F3"/>
    <w:rsid w:val="002114FB"/>
    <w:rsid w:val="0021206D"/>
    <w:rsid w:val="00217798"/>
    <w:rsid w:val="00220E9D"/>
    <w:rsid w:val="00224DB8"/>
    <w:rsid w:val="00231767"/>
    <w:rsid w:val="00242FD9"/>
    <w:rsid w:val="00264314"/>
    <w:rsid w:val="00275DE8"/>
    <w:rsid w:val="002800C2"/>
    <w:rsid w:val="0028731E"/>
    <w:rsid w:val="002930D1"/>
    <w:rsid w:val="002A34B3"/>
    <w:rsid w:val="002C55A9"/>
    <w:rsid w:val="002C7260"/>
    <w:rsid w:val="002D1A14"/>
    <w:rsid w:val="002E2A59"/>
    <w:rsid w:val="002E6775"/>
    <w:rsid w:val="002F5387"/>
    <w:rsid w:val="00303A2C"/>
    <w:rsid w:val="00305D7B"/>
    <w:rsid w:val="0030699B"/>
    <w:rsid w:val="00315384"/>
    <w:rsid w:val="00343E17"/>
    <w:rsid w:val="00360D01"/>
    <w:rsid w:val="0038619C"/>
    <w:rsid w:val="003958C8"/>
    <w:rsid w:val="003A1A93"/>
    <w:rsid w:val="003A581D"/>
    <w:rsid w:val="003A7FB6"/>
    <w:rsid w:val="003B1B3F"/>
    <w:rsid w:val="003B451D"/>
    <w:rsid w:val="003C4646"/>
    <w:rsid w:val="003C67C2"/>
    <w:rsid w:val="003D2258"/>
    <w:rsid w:val="003D79E0"/>
    <w:rsid w:val="003E32BC"/>
    <w:rsid w:val="003E5B2F"/>
    <w:rsid w:val="0040034C"/>
    <w:rsid w:val="004012DC"/>
    <w:rsid w:val="004044F2"/>
    <w:rsid w:val="004111E9"/>
    <w:rsid w:val="00414517"/>
    <w:rsid w:val="00424FF1"/>
    <w:rsid w:val="00430551"/>
    <w:rsid w:val="00454472"/>
    <w:rsid w:val="00480FD8"/>
    <w:rsid w:val="00485598"/>
    <w:rsid w:val="0049611F"/>
    <w:rsid w:val="004A3B90"/>
    <w:rsid w:val="004B2F57"/>
    <w:rsid w:val="004D2C93"/>
    <w:rsid w:val="004D3620"/>
    <w:rsid w:val="004E1168"/>
    <w:rsid w:val="004E56C0"/>
    <w:rsid w:val="004F6F2A"/>
    <w:rsid w:val="00511AC6"/>
    <w:rsid w:val="0052397A"/>
    <w:rsid w:val="0052622A"/>
    <w:rsid w:val="005262AF"/>
    <w:rsid w:val="005360A6"/>
    <w:rsid w:val="00541135"/>
    <w:rsid w:val="00551F46"/>
    <w:rsid w:val="005532A4"/>
    <w:rsid w:val="00555C35"/>
    <w:rsid w:val="00557B1B"/>
    <w:rsid w:val="00564F74"/>
    <w:rsid w:val="00566D52"/>
    <w:rsid w:val="0059449D"/>
    <w:rsid w:val="00596FB0"/>
    <w:rsid w:val="005B1909"/>
    <w:rsid w:val="005B2C88"/>
    <w:rsid w:val="005C3A75"/>
    <w:rsid w:val="005C50E4"/>
    <w:rsid w:val="005C7ADF"/>
    <w:rsid w:val="005D5BFC"/>
    <w:rsid w:val="005E49D1"/>
    <w:rsid w:val="005F4F70"/>
    <w:rsid w:val="00601134"/>
    <w:rsid w:val="00611EC9"/>
    <w:rsid w:val="00623E2B"/>
    <w:rsid w:val="006405A3"/>
    <w:rsid w:val="00641785"/>
    <w:rsid w:val="00650054"/>
    <w:rsid w:val="00651F30"/>
    <w:rsid w:val="00653DF5"/>
    <w:rsid w:val="00661B7B"/>
    <w:rsid w:val="0066278B"/>
    <w:rsid w:val="00674C7D"/>
    <w:rsid w:val="00682388"/>
    <w:rsid w:val="00684491"/>
    <w:rsid w:val="006928BB"/>
    <w:rsid w:val="006A188D"/>
    <w:rsid w:val="006A2BF7"/>
    <w:rsid w:val="006A4F6C"/>
    <w:rsid w:val="006B6646"/>
    <w:rsid w:val="006B7E22"/>
    <w:rsid w:val="006C0D59"/>
    <w:rsid w:val="006C55F0"/>
    <w:rsid w:val="006D55E7"/>
    <w:rsid w:val="006E08A1"/>
    <w:rsid w:val="006E548D"/>
    <w:rsid w:val="006E6233"/>
    <w:rsid w:val="00701B3D"/>
    <w:rsid w:val="007033C5"/>
    <w:rsid w:val="0071265A"/>
    <w:rsid w:val="00714593"/>
    <w:rsid w:val="00717ACD"/>
    <w:rsid w:val="007246FC"/>
    <w:rsid w:val="00731533"/>
    <w:rsid w:val="00734E0E"/>
    <w:rsid w:val="00734F84"/>
    <w:rsid w:val="007409A7"/>
    <w:rsid w:val="0074507C"/>
    <w:rsid w:val="0075125B"/>
    <w:rsid w:val="0075300D"/>
    <w:rsid w:val="00761EA5"/>
    <w:rsid w:val="00771B79"/>
    <w:rsid w:val="00774CED"/>
    <w:rsid w:val="00776D89"/>
    <w:rsid w:val="00780C73"/>
    <w:rsid w:val="0078420F"/>
    <w:rsid w:val="007B1134"/>
    <w:rsid w:val="007B152F"/>
    <w:rsid w:val="007C73D2"/>
    <w:rsid w:val="007C7E9D"/>
    <w:rsid w:val="007E056D"/>
    <w:rsid w:val="00801F35"/>
    <w:rsid w:val="00804FAC"/>
    <w:rsid w:val="0081261A"/>
    <w:rsid w:val="00817A94"/>
    <w:rsid w:val="008220AF"/>
    <w:rsid w:val="00834F0E"/>
    <w:rsid w:val="0085414D"/>
    <w:rsid w:val="0087470C"/>
    <w:rsid w:val="008766BA"/>
    <w:rsid w:val="00880EC8"/>
    <w:rsid w:val="008839EF"/>
    <w:rsid w:val="00891CE6"/>
    <w:rsid w:val="00894ED4"/>
    <w:rsid w:val="008A3ACB"/>
    <w:rsid w:val="008B4A83"/>
    <w:rsid w:val="008C0E63"/>
    <w:rsid w:val="008D4DD3"/>
    <w:rsid w:val="008E3004"/>
    <w:rsid w:val="008E5EF0"/>
    <w:rsid w:val="008F7135"/>
    <w:rsid w:val="00902952"/>
    <w:rsid w:val="00902DF8"/>
    <w:rsid w:val="00910DE6"/>
    <w:rsid w:val="009138D6"/>
    <w:rsid w:val="00914982"/>
    <w:rsid w:val="00914ACC"/>
    <w:rsid w:val="00936919"/>
    <w:rsid w:val="00954BB6"/>
    <w:rsid w:val="00956313"/>
    <w:rsid w:val="009649BD"/>
    <w:rsid w:val="00973E52"/>
    <w:rsid w:val="00985CC7"/>
    <w:rsid w:val="009A0EA0"/>
    <w:rsid w:val="009C3FD8"/>
    <w:rsid w:val="009C47EF"/>
    <w:rsid w:val="009E5E38"/>
    <w:rsid w:val="009F0E0F"/>
    <w:rsid w:val="00A11321"/>
    <w:rsid w:val="00A330C6"/>
    <w:rsid w:val="00A52824"/>
    <w:rsid w:val="00A55D0A"/>
    <w:rsid w:val="00A624CE"/>
    <w:rsid w:val="00A643E6"/>
    <w:rsid w:val="00A75C1E"/>
    <w:rsid w:val="00A764DE"/>
    <w:rsid w:val="00A93624"/>
    <w:rsid w:val="00A94DF6"/>
    <w:rsid w:val="00AD612C"/>
    <w:rsid w:val="00AE268F"/>
    <w:rsid w:val="00AE284E"/>
    <w:rsid w:val="00AF27E4"/>
    <w:rsid w:val="00B011F7"/>
    <w:rsid w:val="00B032AE"/>
    <w:rsid w:val="00B03E60"/>
    <w:rsid w:val="00B0478C"/>
    <w:rsid w:val="00B1121A"/>
    <w:rsid w:val="00B12D73"/>
    <w:rsid w:val="00B16F90"/>
    <w:rsid w:val="00B22212"/>
    <w:rsid w:val="00B30156"/>
    <w:rsid w:val="00B36A08"/>
    <w:rsid w:val="00B56D7E"/>
    <w:rsid w:val="00B66465"/>
    <w:rsid w:val="00B77E6A"/>
    <w:rsid w:val="00B90DFB"/>
    <w:rsid w:val="00B9485D"/>
    <w:rsid w:val="00B95C89"/>
    <w:rsid w:val="00BA0699"/>
    <w:rsid w:val="00BC4017"/>
    <w:rsid w:val="00BC5317"/>
    <w:rsid w:val="00BC541C"/>
    <w:rsid w:val="00BD183A"/>
    <w:rsid w:val="00BD275D"/>
    <w:rsid w:val="00BD2CC3"/>
    <w:rsid w:val="00BE0D00"/>
    <w:rsid w:val="00BE4118"/>
    <w:rsid w:val="00BE7A04"/>
    <w:rsid w:val="00C0083A"/>
    <w:rsid w:val="00C03D4F"/>
    <w:rsid w:val="00C059EB"/>
    <w:rsid w:val="00C06D2F"/>
    <w:rsid w:val="00C072E7"/>
    <w:rsid w:val="00C10C9C"/>
    <w:rsid w:val="00C121E6"/>
    <w:rsid w:val="00C134FA"/>
    <w:rsid w:val="00C154AA"/>
    <w:rsid w:val="00C1602B"/>
    <w:rsid w:val="00C21DC2"/>
    <w:rsid w:val="00C2431C"/>
    <w:rsid w:val="00C3206C"/>
    <w:rsid w:val="00C52AD7"/>
    <w:rsid w:val="00C654B9"/>
    <w:rsid w:val="00C67793"/>
    <w:rsid w:val="00C772E4"/>
    <w:rsid w:val="00C8632F"/>
    <w:rsid w:val="00C863CB"/>
    <w:rsid w:val="00CA1DD2"/>
    <w:rsid w:val="00CA5895"/>
    <w:rsid w:val="00CA67B9"/>
    <w:rsid w:val="00CB5A28"/>
    <w:rsid w:val="00CD0D5C"/>
    <w:rsid w:val="00CD0F87"/>
    <w:rsid w:val="00CE0594"/>
    <w:rsid w:val="00CE0C00"/>
    <w:rsid w:val="00CE6124"/>
    <w:rsid w:val="00CF0B61"/>
    <w:rsid w:val="00CF557C"/>
    <w:rsid w:val="00CF79F3"/>
    <w:rsid w:val="00D030BA"/>
    <w:rsid w:val="00D05062"/>
    <w:rsid w:val="00D05A32"/>
    <w:rsid w:val="00D0659B"/>
    <w:rsid w:val="00D075B4"/>
    <w:rsid w:val="00D11ECD"/>
    <w:rsid w:val="00D2183C"/>
    <w:rsid w:val="00D41F29"/>
    <w:rsid w:val="00D47FF7"/>
    <w:rsid w:val="00D60E51"/>
    <w:rsid w:val="00D70287"/>
    <w:rsid w:val="00D7743D"/>
    <w:rsid w:val="00D77A64"/>
    <w:rsid w:val="00D77B1D"/>
    <w:rsid w:val="00D90784"/>
    <w:rsid w:val="00DA35DB"/>
    <w:rsid w:val="00DA54E6"/>
    <w:rsid w:val="00DA6105"/>
    <w:rsid w:val="00DB3A05"/>
    <w:rsid w:val="00DC1398"/>
    <w:rsid w:val="00DD08D9"/>
    <w:rsid w:val="00DF0B37"/>
    <w:rsid w:val="00DF32B2"/>
    <w:rsid w:val="00E0045A"/>
    <w:rsid w:val="00E10141"/>
    <w:rsid w:val="00E13965"/>
    <w:rsid w:val="00E1523B"/>
    <w:rsid w:val="00E406A4"/>
    <w:rsid w:val="00E4345E"/>
    <w:rsid w:val="00E47015"/>
    <w:rsid w:val="00E50522"/>
    <w:rsid w:val="00E50E67"/>
    <w:rsid w:val="00E66104"/>
    <w:rsid w:val="00E7266E"/>
    <w:rsid w:val="00E815C4"/>
    <w:rsid w:val="00E81DC9"/>
    <w:rsid w:val="00E85AF1"/>
    <w:rsid w:val="00E940D8"/>
    <w:rsid w:val="00EA089E"/>
    <w:rsid w:val="00EA106C"/>
    <w:rsid w:val="00EA1E72"/>
    <w:rsid w:val="00EB5EDE"/>
    <w:rsid w:val="00EB77FD"/>
    <w:rsid w:val="00EC4A0E"/>
    <w:rsid w:val="00EC7C81"/>
    <w:rsid w:val="00EF6215"/>
    <w:rsid w:val="00EF734A"/>
    <w:rsid w:val="00F15391"/>
    <w:rsid w:val="00F2044C"/>
    <w:rsid w:val="00F37B39"/>
    <w:rsid w:val="00F41F32"/>
    <w:rsid w:val="00F47ABF"/>
    <w:rsid w:val="00F53E1E"/>
    <w:rsid w:val="00F610EA"/>
    <w:rsid w:val="00F76A7A"/>
    <w:rsid w:val="00F90C5D"/>
    <w:rsid w:val="00F93573"/>
    <w:rsid w:val="00F958C9"/>
    <w:rsid w:val="00FB47E8"/>
    <w:rsid w:val="00FB77C7"/>
    <w:rsid w:val="00FC1E0E"/>
    <w:rsid w:val="00FC6233"/>
    <w:rsid w:val="00FF32B6"/>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84E8A7"/>
  <w15:chartTrackingRefBased/>
  <w15:docId w15:val="{B9599DB4-8E1E-4BDD-A433-11EAC327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F87"/>
  </w:style>
  <w:style w:type="paragraph" w:styleId="Heading2">
    <w:name w:val="heading 2"/>
    <w:basedOn w:val="Normal"/>
    <w:link w:val="Heading2Char"/>
    <w:uiPriority w:val="9"/>
    <w:qFormat/>
    <w:rsid w:val="00FC623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C623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623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C6233"/>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FC6233"/>
  </w:style>
  <w:style w:type="paragraph" w:styleId="NormalWeb">
    <w:name w:val="Normal (Web)"/>
    <w:basedOn w:val="Normal"/>
    <w:uiPriority w:val="99"/>
    <w:unhideWhenUsed/>
    <w:rsid w:val="00FC623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54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579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2F5387"/>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2F5387"/>
  </w:style>
  <w:style w:type="character" w:styleId="CommentReference">
    <w:name w:val="annotation reference"/>
    <w:basedOn w:val="DefaultParagraphFont"/>
    <w:uiPriority w:val="99"/>
    <w:semiHidden/>
    <w:unhideWhenUsed/>
    <w:rsid w:val="003A1A93"/>
    <w:rPr>
      <w:sz w:val="16"/>
      <w:szCs w:val="16"/>
    </w:rPr>
  </w:style>
  <w:style w:type="character" w:customStyle="1" w:styleId="normaltextrun1">
    <w:name w:val="normaltextrun1"/>
    <w:basedOn w:val="DefaultParagraphFont"/>
    <w:rsid w:val="00D77B1D"/>
  </w:style>
  <w:style w:type="table" w:customStyle="1" w:styleId="HMPPSTable">
    <w:name w:val="HMPPS Table"/>
    <w:basedOn w:val="TableNormal"/>
    <w:uiPriority w:val="99"/>
    <w:rsid w:val="00F41F32"/>
    <w:pPr>
      <w:spacing w:after="0" w:line="240" w:lineRule="auto"/>
    </w:pPr>
    <w:rPr>
      <w:rFonts w:ascii="Arial" w:eastAsia="Calibri" w:hAnsi="Arial" w:cs="Arial"/>
      <w:szCs w:val="20"/>
      <w:lang w:eastAsia="en-GB"/>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styleId="NoSpacing">
    <w:name w:val="No Spacing"/>
    <w:uiPriority w:val="1"/>
    <w:qFormat/>
    <w:rsid w:val="008F7135"/>
    <w:pPr>
      <w:spacing w:after="0" w:line="240" w:lineRule="auto"/>
    </w:pPr>
  </w:style>
  <w:style w:type="paragraph" w:styleId="Header">
    <w:name w:val="header"/>
    <w:basedOn w:val="Normal"/>
    <w:link w:val="HeaderChar"/>
    <w:uiPriority w:val="99"/>
    <w:unhideWhenUsed/>
    <w:rsid w:val="00780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C73"/>
  </w:style>
  <w:style w:type="paragraph" w:styleId="Footer">
    <w:name w:val="footer"/>
    <w:basedOn w:val="Normal"/>
    <w:link w:val="FooterChar"/>
    <w:uiPriority w:val="99"/>
    <w:unhideWhenUsed/>
    <w:rsid w:val="00780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C73"/>
  </w:style>
  <w:style w:type="paragraph" w:styleId="CommentText">
    <w:name w:val="annotation text"/>
    <w:basedOn w:val="Normal"/>
    <w:link w:val="CommentTextChar"/>
    <w:uiPriority w:val="99"/>
    <w:semiHidden/>
    <w:unhideWhenUsed/>
    <w:rsid w:val="00BC5317"/>
    <w:pPr>
      <w:spacing w:line="240" w:lineRule="auto"/>
    </w:pPr>
    <w:rPr>
      <w:sz w:val="20"/>
      <w:szCs w:val="20"/>
    </w:rPr>
  </w:style>
  <w:style w:type="character" w:customStyle="1" w:styleId="CommentTextChar">
    <w:name w:val="Comment Text Char"/>
    <w:basedOn w:val="DefaultParagraphFont"/>
    <w:link w:val="CommentText"/>
    <w:uiPriority w:val="99"/>
    <w:semiHidden/>
    <w:rsid w:val="00BC5317"/>
    <w:rPr>
      <w:sz w:val="20"/>
      <w:szCs w:val="20"/>
    </w:rPr>
  </w:style>
  <w:style w:type="paragraph" w:styleId="CommentSubject">
    <w:name w:val="annotation subject"/>
    <w:basedOn w:val="CommentText"/>
    <w:next w:val="CommentText"/>
    <w:link w:val="CommentSubjectChar"/>
    <w:uiPriority w:val="99"/>
    <w:semiHidden/>
    <w:unhideWhenUsed/>
    <w:rsid w:val="00BC5317"/>
    <w:rPr>
      <w:b/>
      <w:bCs/>
    </w:rPr>
  </w:style>
  <w:style w:type="character" w:customStyle="1" w:styleId="CommentSubjectChar">
    <w:name w:val="Comment Subject Char"/>
    <w:basedOn w:val="CommentTextChar"/>
    <w:link w:val="CommentSubject"/>
    <w:uiPriority w:val="99"/>
    <w:semiHidden/>
    <w:rsid w:val="00BC5317"/>
    <w:rPr>
      <w:b/>
      <w:bCs/>
      <w:sz w:val="20"/>
      <w:szCs w:val="20"/>
    </w:rPr>
  </w:style>
  <w:style w:type="paragraph" w:styleId="Revision">
    <w:name w:val="Revision"/>
    <w:hidden/>
    <w:uiPriority w:val="99"/>
    <w:semiHidden/>
    <w:rsid w:val="00BC5317"/>
    <w:pPr>
      <w:spacing w:after="0" w:line="240" w:lineRule="auto"/>
    </w:pPr>
  </w:style>
  <w:style w:type="paragraph" w:styleId="BalloonText">
    <w:name w:val="Balloon Text"/>
    <w:basedOn w:val="Normal"/>
    <w:link w:val="BalloonTextChar"/>
    <w:uiPriority w:val="99"/>
    <w:semiHidden/>
    <w:unhideWhenUsed/>
    <w:rsid w:val="00BC5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317"/>
    <w:rPr>
      <w:rFonts w:ascii="Segoe UI" w:hAnsi="Segoe UI" w:cs="Segoe UI"/>
      <w:sz w:val="18"/>
      <w:szCs w:val="18"/>
    </w:rPr>
  </w:style>
  <w:style w:type="paragraph" w:customStyle="1" w:styleId="CoverDate">
    <w:name w:val="Cover Date"/>
    <w:basedOn w:val="Normal"/>
    <w:qFormat/>
    <w:rsid w:val="00175092"/>
    <w:pPr>
      <w:spacing w:before="240" w:after="240" w:line="264" w:lineRule="auto"/>
    </w:pPr>
    <w:rPr>
      <w:rFonts w:ascii="Arial" w:eastAsia="Calibri" w:hAnsi="Arial" w:cs="Arial"/>
      <w:sz w:val="32"/>
      <w:szCs w:val="28"/>
      <w:lang w:bidi="he-IL"/>
    </w:rPr>
  </w:style>
  <w:style w:type="paragraph" w:customStyle="1" w:styleId="CoverTitle">
    <w:name w:val="Cover Title"/>
    <w:basedOn w:val="Normal"/>
    <w:qFormat/>
    <w:rsid w:val="00175092"/>
    <w:pPr>
      <w:spacing w:after="240" w:line="240" w:lineRule="auto"/>
    </w:pPr>
    <w:rPr>
      <w:rFonts w:ascii="Arial" w:eastAsia="Calibri" w:hAnsi="Arial" w:cs="Arial"/>
      <w:b/>
      <w:sz w:val="80"/>
      <w:szCs w:val="88"/>
      <w:lang w:bidi="he-IL"/>
    </w:rPr>
  </w:style>
  <w:style w:type="paragraph" w:customStyle="1" w:styleId="CoverAuthor">
    <w:name w:val="Cover Author"/>
    <w:basedOn w:val="Normal"/>
    <w:qFormat/>
    <w:rsid w:val="00175092"/>
    <w:pPr>
      <w:spacing w:after="240" w:line="264" w:lineRule="auto"/>
    </w:pPr>
    <w:rPr>
      <w:rFonts w:ascii="Arial" w:eastAsia="Calibri" w:hAnsi="Arial" w:cs="Arial"/>
      <w:sz w:val="40"/>
      <w:szCs w:val="28"/>
      <w:lang w:bidi="he-IL"/>
    </w:rPr>
  </w:style>
  <w:style w:type="paragraph" w:styleId="FootnoteText">
    <w:name w:val="footnote text"/>
    <w:basedOn w:val="Normal"/>
    <w:link w:val="FootnoteTextChar"/>
    <w:uiPriority w:val="99"/>
    <w:semiHidden/>
    <w:unhideWhenUsed/>
    <w:rsid w:val="00A75C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C1E"/>
    <w:rPr>
      <w:sz w:val="20"/>
      <w:szCs w:val="20"/>
    </w:rPr>
  </w:style>
  <w:style w:type="character" w:styleId="FootnoteReference">
    <w:name w:val="footnote reference"/>
    <w:basedOn w:val="DefaultParagraphFont"/>
    <w:uiPriority w:val="99"/>
    <w:semiHidden/>
    <w:unhideWhenUsed/>
    <w:rsid w:val="00A75C1E"/>
    <w:rPr>
      <w:vertAlign w:val="superscript"/>
    </w:rPr>
  </w:style>
  <w:style w:type="character" w:styleId="Hyperlink">
    <w:name w:val="Hyperlink"/>
    <w:basedOn w:val="DefaultParagraphFont"/>
    <w:uiPriority w:val="99"/>
    <w:unhideWhenUsed/>
    <w:rsid w:val="00430551"/>
    <w:rPr>
      <w:color w:val="0563C1" w:themeColor="hyperlink"/>
      <w:u w:val="single"/>
    </w:rPr>
  </w:style>
  <w:style w:type="character" w:styleId="UnresolvedMention">
    <w:name w:val="Unresolved Mention"/>
    <w:basedOn w:val="DefaultParagraphFont"/>
    <w:uiPriority w:val="99"/>
    <w:semiHidden/>
    <w:unhideWhenUsed/>
    <w:rsid w:val="004305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74642">
      <w:bodyDiv w:val="1"/>
      <w:marLeft w:val="0"/>
      <w:marRight w:val="0"/>
      <w:marTop w:val="0"/>
      <w:marBottom w:val="0"/>
      <w:divBdr>
        <w:top w:val="none" w:sz="0" w:space="0" w:color="auto"/>
        <w:left w:val="none" w:sz="0" w:space="0" w:color="auto"/>
        <w:bottom w:val="none" w:sz="0" w:space="0" w:color="auto"/>
        <w:right w:val="none" w:sz="0" w:space="0" w:color="auto"/>
      </w:divBdr>
    </w:div>
    <w:div w:id="204296677">
      <w:bodyDiv w:val="1"/>
      <w:marLeft w:val="0"/>
      <w:marRight w:val="0"/>
      <w:marTop w:val="0"/>
      <w:marBottom w:val="0"/>
      <w:divBdr>
        <w:top w:val="none" w:sz="0" w:space="0" w:color="auto"/>
        <w:left w:val="none" w:sz="0" w:space="0" w:color="auto"/>
        <w:bottom w:val="none" w:sz="0" w:space="0" w:color="auto"/>
        <w:right w:val="none" w:sz="0" w:space="0" w:color="auto"/>
      </w:divBdr>
    </w:div>
    <w:div w:id="240800105">
      <w:bodyDiv w:val="1"/>
      <w:marLeft w:val="0"/>
      <w:marRight w:val="0"/>
      <w:marTop w:val="0"/>
      <w:marBottom w:val="0"/>
      <w:divBdr>
        <w:top w:val="none" w:sz="0" w:space="0" w:color="auto"/>
        <w:left w:val="none" w:sz="0" w:space="0" w:color="auto"/>
        <w:bottom w:val="none" w:sz="0" w:space="0" w:color="auto"/>
        <w:right w:val="none" w:sz="0" w:space="0" w:color="auto"/>
      </w:divBdr>
    </w:div>
    <w:div w:id="244187418">
      <w:bodyDiv w:val="1"/>
      <w:marLeft w:val="0"/>
      <w:marRight w:val="0"/>
      <w:marTop w:val="0"/>
      <w:marBottom w:val="0"/>
      <w:divBdr>
        <w:top w:val="none" w:sz="0" w:space="0" w:color="auto"/>
        <w:left w:val="none" w:sz="0" w:space="0" w:color="auto"/>
        <w:bottom w:val="none" w:sz="0" w:space="0" w:color="auto"/>
        <w:right w:val="none" w:sz="0" w:space="0" w:color="auto"/>
      </w:divBdr>
    </w:div>
    <w:div w:id="364448583">
      <w:bodyDiv w:val="1"/>
      <w:marLeft w:val="0"/>
      <w:marRight w:val="0"/>
      <w:marTop w:val="0"/>
      <w:marBottom w:val="0"/>
      <w:divBdr>
        <w:top w:val="none" w:sz="0" w:space="0" w:color="auto"/>
        <w:left w:val="none" w:sz="0" w:space="0" w:color="auto"/>
        <w:bottom w:val="none" w:sz="0" w:space="0" w:color="auto"/>
        <w:right w:val="none" w:sz="0" w:space="0" w:color="auto"/>
      </w:divBdr>
    </w:div>
    <w:div w:id="425006279">
      <w:bodyDiv w:val="1"/>
      <w:marLeft w:val="0"/>
      <w:marRight w:val="0"/>
      <w:marTop w:val="0"/>
      <w:marBottom w:val="0"/>
      <w:divBdr>
        <w:top w:val="none" w:sz="0" w:space="0" w:color="auto"/>
        <w:left w:val="none" w:sz="0" w:space="0" w:color="auto"/>
        <w:bottom w:val="none" w:sz="0" w:space="0" w:color="auto"/>
        <w:right w:val="none" w:sz="0" w:space="0" w:color="auto"/>
      </w:divBdr>
    </w:div>
    <w:div w:id="908004688">
      <w:bodyDiv w:val="1"/>
      <w:marLeft w:val="0"/>
      <w:marRight w:val="0"/>
      <w:marTop w:val="0"/>
      <w:marBottom w:val="0"/>
      <w:divBdr>
        <w:top w:val="none" w:sz="0" w:space="0" w:color="auto"/>
        <w:left w:val="none" w:sz="0" w:space="0" w:color="auto"/>
        <w:bottom w:val="none" w:sz="0" w:space="0" w:color="auto"/>
        <w:right w:val="none" w:sz="0" w:space="0" w:color="auto"/>
      </w:divBdr>
    </w:div>
    <w:div w:id="1053117770">
      <w:bodyDiv w:val="1"/>
      <w:marLeft w:val="0"/>
      <w:marRight w:val="0"/>
      <w:marTop w:val="0"/>
      <w:marBottom w:val="0"/>
      <w:divBdr>
        <w:top w:val="none" w:sz="0" w:space="0" w:color="auto"/>
        <w:left w:val="none" w:sz="0" w:space="0" w:color="auto"/>
        <w:bottom w:val="none" w:sz="0" w:space="0" w:color="auto"/>
        <w:right w:val="none" w:sz="0" w:space="0" w:color="auto"/>
      </w:divBdr>
    </w:div>
    <w:div w:id="1143230480">
      <w:bodyDiv w:val="1"/>
      <w:marLeft w:val="0"/>
      <w:marRight w:val="0"/>
      <w:marTop w:val="0"/>
      <w:marBottom w:val="0"/>
      <w:divBdr>
        <w:top w:val="none" w:sz="0" w:space="0" w:color="auto"/>
        <w:left w:val="none" w:sz="0" w:space="0" w:color="auto"/>
        <w:bottom w:val="none" w:sz="0" w:space="0" w:color="auto"/>
        <w:right w:val="none" w:sz="0" w:space="0" w:color="auto"/>
      </w:divBdr>
    </w:div>
    <w:div w:id="1448235993">
      <w:bodyDiv w:val="1"/>
      <w:marLeft w:val="0"/>
      <w:marRight w:val="0"/>
      <w:marTop w:val="0"/>
      <w:marBottom w:val="0"/>
      <w:divBdr>
        <w:top w:val="none" w:sz="0" w:space="0" w:color="auto"/>
        <w:left w:val="none" w:sz="0" w:space="0" w:color="auto"/>
        <w:bottom w:val="none" w:sz="0" w:space="0" w:color="auto"/>
        <w:right w:val="none" w:sz="0" w:space="0" w:color="auto"/>
      </w:divBdr>
    </w:div>
    <w:div w:id="1478305198">
      <w:bodyDiv w:val="1"/>
      <w:marLeft w:val="0"/>
      <w:marRight w:val="0"/>
      <w:marTop w:val="0"/>
      <w:marBottom w:val="0"/>
      <w:divBdr>
        <w:top w:val="none" w:sz="0" w:space="0" w:color="auto"/>
        <w:left w:val="none" w:sz="0" w:space="0" w:color="auto"/>
        <w:bottom w:val="none" w:sz="0" w:space="0" w:color="auto"/>
        <w:right w:val="none" w:sz="0" w:space="0" w:color="auto"/>
      </w:divBdr>
      <w:divsChild>
        <w:div w:id="1233153200">
          <w:marLeft w:val="0"/>
          <w:marRight w:val="0"/>
          <w:marTop w:val="0"/>
          <w:marBottom w:val="0"/>
          <w:divBdr>
            <w:top w:val="none" w:sz="0" w:space="0" w:color="auto"/>
            <w:left w:val="none" w:sz="0" w:space="0" w:color="auto"/>
            <w:bottom w:val="none" w:sz="0" w:space="0" w:color="auto"/>
            <w:right w:val="none" w:sz="0" w:space="0" w:color="auto"/>
          </w:divBdr>
        </w:div>
        <w:div w:id="579605718">
          <w:marLeft w:val="0"/>
          <w:marRight w:val="0"/>
          <w:marTop w:val="0"/>
          <w:marBottom w:val="0"/>
          <w:divBdr>
            <w:top w:val="none" w:sz="0" w:space="0" w:color="auto"/>
            <w:left w:val="none" w:sz="0" w:space="0" w:color="auto"/>
            <w:bottom w:val="none" w:sz="0" w:space="0" w:color="auto"/>
            <w:right w:val="none" w:sz="0" w:space="0" w:color="auto"/>
          </w:divBdr>
          <w:divsChild>
            <w:div w:id="796878009">
              <w:marLeft w:val="0"/>
              <w:marRight w:val="0"/>
              <w:marTop w:val="0"/>
              <w:marBottom w:val="0"/>
              <w:divBdr>
                <w:top w:val="none" w:sz="0" w:space="0" w:color="auto"/>
                <w:left w:val="none" w:sz="0" w:space="0" w:color="auto"/>
                <w:bottom w:val="none" w:sz="0" w:space="0" w:color="auto"/>
                <w:right w:val="none" w:sz="0" w:space="0" w:color="auto"/>
              </w:divBdr>
              <w:divsChild>
                <w:div w:id="1916090707">
                  <w:marLeft w:val="0"/>
                  <w:marRight w:val="0"/>
                  <w:marTop w:val="0"/>
                  <w:marBottom w:val="0"/>
                  <w:divBdr>
                    <w:top w:val="none" w:sz="0" w:space="0" w:color="auto"/>
                    <w:left w:val="none" w:sz="0" w:space="0" w:color="auto"/>
                    <w:bottom w:val="none" w:sz="0" w:space="0" w:color="auto"/>
                    <w:right w:val="none" w:sz="0" w:space="0" w:color="auto"/>
                  </w:divBdr>
                  <w:divsChild>
                    <w:div w:id="330571227">
                      <w:marLeft w:val="0"/>
                      <w:marRight w:val="0"/>
                      <w:marTop w:val="0"/>
                      <w:marBottom w:val="0"/>
                      <w:divBdr>
                        <w:top w:val="none" w:sz="0" w:space="0" w:color="auto"/>
                        <w:left w:val="none" w:sz="0" w:space="0" w:color="auto"/>
                        <w:bottom w:val="none" w:sz="0" w:space="0" w:color="auto"/>
                        <w:right w:val="none" w:sz="0" w:space="0" w:color="auto"/>
                      </w:divBdr>
                      <w:divsChild>
                        <w:div w:id="11099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428533">
      <w:bodyDiv w:val="1"/>
      <w:marLeft w:val="0"/>
      <w:marRight w:val="0"/>
      <w:marTop w:val="0"/>
      <w:marBottom w:val="0"/>
      <w:divBdr>
        <w:top w:val="none" w:sz="0" w:space="0" w:color="auto"/>
        <w:left w:val="none" w:sz="0" w:space="0" w:color="auto"/>
        <w:bottom w:val="none" w:sz="0" w:space="0" w:color="auto"/>
        <w:right w:val="none" w:sz="0" w:space="0" w:color="auto"/>
      </w:divBdr>
    </w:div>
    <w:div w:id="1927105634">
      <w:bodyDiv w:val="1"/>
      <w:marLeft w:val="0"/>
      <w:marRight w:val="0"/>
      <w:marTop w:val="0"/>
      <w:marBottom w:val="0"/>
      <w:divBdr>
        <w:top w:val="none" w:sz="0" w:space="0" w:color="auto"/>
        <w:left w:val="none" w:sz="0" w:space="0" w:color="auto"/>
        <w:bottom w:val="none" w:sz="0" w:space="0" w:color="auto"/>
        <w:right w:val="none" w:sz="0" w:space="0" w:color="auto"/>
      </w:divBdr>
    </w:div>
    <w:div w:id="2135824762">
      <w:bodyDiv w:val="1"/>
      <w:marLeft w:val="0"/>
      <w:marRight w:val="0"/>
      <w:marTop w:val="0"/>
      <w:marBottom w:val="0"/>
      <w:divBdr>
        <w:top w:val="none" w:sz="0" w:space="0" w:color="auto"/>
        <w:left w:val="none" w:sz="0" w:space="0" w:color="auto"/>
        <w:bottom w:val="none" w:sz="0" w:space="0" w:color="auto"/>
        <w:right w:val="none" w:sz="0" w:space="0" w:color="auto"/>
      </w:divBdr>
      <w:divsChild>
        <w:div w:id="89855964">
          <w:marLeft w:val="0"/>
          <w:marRight w:val="0"/>
          <w:marTop w:val="0"/>
          <w:marBottom w:val="0"/>
          <w:divBdr>
            <w:top w:val="none" w:sz="0" w:space="0" w:color="auto"/>
            <w:left w:val="none" w:sz="0" w:space="0" w:color="auto"/>
            <w:bottom w:val="none" w:sz="0" w:space="0" w:color="auto"/>
            <w:right w:val="none" w:sz="0" w:space="0" w:color="auto"/>
          </w:divBdr>
        </w:div>
        <w:div w:id="1530946030">
          <w:marLeft w:val="0"/>
          <w:marRight w:val="0"/>
          <w:marTop w:val="0"/>
          <w:marBottom w:val="0"/>
          <w:divBdr>
            <w:top w:val="none" w:sz="0" w:space="0" w:color="auto"/>
            <w:left w:val="none" w:sz="0" w:space="0" w:color="auto"/>
            <w:bottom w:val="none" w:sz="0" w:space="0" w:color="auto"/>
            <w:right w:val="none" w:sz="0" w:space="0" w:color="auto"/>
          </w:divBdr>
        </w:div>
        <w:div w:id="422070935">
          <w:marLeft w:val="0"/>
          <w:marRight w:val="0"/>
          <w:marTop w:val="0"/>
          <w:marBottom w:val="0"/>
          <w:divBdr>
            <w:top w:val="none" w:sz="0" w:space="0" w:color="auto"/>
            <w:left w:val="none" w:sz="0" w:space="0" w:color="auto"/>
            <w:bottom w:val="none" w:sz="0" w:space="0" w:color="auto"/>
            <w:right w:val="none" w:sz="0" w:space="0" w:color="auto"/>
          </w:divBdr>
        </w:div>
        <w:div w:id="667712238">
          <w:marLeft w:val="0"/>
          <w:marRight w:val="0"/>
          <w:marTop w:val="0"/>
          <w:marBottom w:val="0"/>
          <w:divBdr>
            <w:top w:val="none" w:sz="0" w:space="0" w:color="auto"/>
            <w:left w:val="none" w:sz="0" w:space="0" w:color="auto"/>
            <w:bottom w:val="none" w:sz="0" w:space="0" w:color="auto"/>
            <w:right w:val="none" w:sz="0" w:space="0" w:color="auto"/>
          </w:divBdr>
        </w:div>
        <w:div w:id="444925353">
          <w:marLeft w:val="0"/>
          <w:marRight w:val="0"/>
          <w:marTop w:val="0"/>
          <w:marBottom w:val="0"/>
          <w:divBdr>
            <w:top w:val="none" w:sz="0" w:space="0" w:color="auto"/>
            <w:left w:val="none" w:sz="0" w:space="0" w:color="auto"/>
            <w:bottom w:val="none" w:sz="0" w:space="0" w:color="auto"/>
            <w:right w:val="none" w:sz="0" w:space="0" w:color="auto"/>
          </w:divBdr>
        </w:div>
        <w:div w:id="506943089">
          <w:marLeft w:val="0"/>
          <w:marRight w:val="0"/>
          <w:marTop w:val="0"/>
          <w:marBottom w:val="0"/>
          <w:divBdr>
            <w:top w:val="none" w:sz="0" w:space="0" w:color="auto"/>
            <w:left w:val="none" w:sz="0" w:space="0" w:color="auto"/>
            <w:bottom w:val="none" w:sz="0" w:space="0" w:color="auto"/>
            <w:right w:val="none" w:sz="0" w:space="0" w:color="auto"/>
          </w:divBdr>
        </w:div>
        <w:div w:id="1033775325">
          <w:marLeft w:val="0"/>
          <w:marRight w:val="0"/>
          <w:marTop w:val="0"/>
          <w:marBottom w:val="0"/>
          <w:divBdr>
            <w:top w:val="none" w:sz="0" w:space="0" w:color="auto"/>
            <w:left w:val="none" w:sz="0" w:space="0" w:color="auto"/>
            <w:bottom w:val="none" w:sz="0" w:space="0" w:color="auto"/>
            <w:right w:val="none" w:sz="0" w:space="0" w:color="auto"/>
          </w:divBdr>
        </w:div>
        <w:div w:id="816989888">
          <w:marLeft w:val="0"/>
          <w:marRight w:val="0"/>
          <w:marTop w:val="0"/>
          <w:marBottom w:val="0"/>
          <w:divBdr>
            <w:top w:val="none" w:sz="0" w:space="0" w:color="auto"/>
            <w:left w:val="none" w:sz="0" w:space="0" w:color="auto"/>
            <w:bottom w:val="none" w:sz="0" w:space="0" w:color="auto"/>
            <w:right w:val="none" w:sz="0" w:space="0" w:color="auto"/>
          </w:divBdr>
        </w:div>
        <w:div w:id="1515999105">
          <w:marLeft w:val="0"/>
          <w:marRight w:val="0"/>
          <w:marTop w:val="0"/>
          <w:marBottom w:val="0"/>
          <w:divBdr>
            <w:top w:val="none" w:sz="0" w:space="0" w:color="auto"/>
            <w:left w:val="none" w:sz="0" w:space="0" w:color="auto"/>
            <w:bottom w:val="none" w:sz="0" w:space="0" w:color="auto"/>
            <w:right w:val="none" w:sz="0" w:space="0" w:color="auto"/>
          </w:divBdr>
        </w:div>
        <w:div w:id="715592453">
          <w:marLeft w:val="0"/>
          <w:marRight w:val="0"/>
          <w:marTop w:val="0"/>
          <w:marBottom w:val="0"/>
          <w:divBdr>
            <w:top w:val="none" w:sz="0" w:space="0" w:color="auto"/>
            <w:left w:val="none" w:sz="0" w:space="0" w:color="auto"/>
            <w:bottom w:val="none" w:sz="0" w:space="0" w:color="auto"/>
            <w:right w:val="none" w:sz="0" w:space="0" w:color="auto"/>
          </w:divBdr>
        </w:div>
        <w:div w:id="727340385">
          <w:marLeft w:val="0"/>
          <w:marRight w:val="0"/>
          <w:marTop w:val="0"/>
          <w:marBottom w:val="0"/>
          <w:divBdr>
            <w:top w:val="none" w:sz="0" w:space="0" w:color="auto"/>
            <w:left w:val="none" w:sz="0" w:space="0" w:color="auto"/>
            <w:bottom w:val="none" w:sz="0" w:space="0" w:color="auto"/>
            <w:right w:val="none" w:sz="0" w:space="0" w:color="auto"/>
          </w:divBdr>
        </w:div>
        <w:div w:id="2073119124">
          <w:marLeft w:val="0"/>
          <w:marRight w:val="0"/>
          <w:marTop w:val="0"/>
          <w:marBottom w:val="0"/>
          <w:divBdr>
            <w:top w:val="none" w:sz="0" w:space="0" w:color="auto"/>
            <w:left w:val="none" w:sz="0" w:space="0" w:color="auto"/>
            <w:bottom w:val="none" w:sz="0" w:space="0" w:color="auto"/>
            <w:right w:val="none" w:sz="0" w:space="0" w:color="auto"/>
          </w:divBdr>
        </w:div>
        <w:div w:id="1397237753">
          <w:marLeft w:val="0"/>
          <w:marRight w:val="0"/>
          <w:marTop w:val="0"/>
          <w:marBottom w:val="0"/>
          <w:divBdr>
            <w:top w:val="none" w:sz="0" w:space="0" w:color="auto"/>
            <w:left w:val="none" w:sz="0" w:space="0" w:color="auto"/>
            <w:bottom w:val="none" w:sz="0" w:space="0" w:color="auto"/>
            <w:right w:val="none" w:sz="0" w:space="0" w:color="auto"/>
          </w:divBdr>
        </w:div>
        <w:div w:id="343047261">
          <w:marLeft w:val="0"/>
          <w:marRight w:val="0"/>
          <w:marTop w:val="0"/>
          <w:marBottom w:val="0"/>
          <w:divBdr>
            <w:top w:val="none" w:sz="0" w:space="0" w:color="auto"/>
            <w:left w:val="none" w:sz="0" w:space="0" w:color="auto"/>
            <w:bottom w:val="none" w:sz="0" w:space="0" w:color="auto"/>
            <w:right w:val="none" w:sz="0" w:space="0" w:color="auto"/>
          </w:divBdr>
        </w:div>
        <w:div w:id="758260456">
          <w:marLeft w:val="0"/>
          <w:marRight w:val="0"/>
          <w:marTop w:val="0"/>
          <w:marBottom w:val="0"/>
          <w:divBdr>
            <w:top w:val="none" w:sz="0" w:space="0" w:color="auto"/>
            <w:left w:val="none" w:sz="0" w:space="0" w:color="auto"/>
            <w:bottom w:val="none" w:sz="0" w:space="0" w:color="auto"/>
            <w:right w:val="none" w:sz="0" w:space="0" w:color="auto"/>
          </w:divBdr>
        </w:div>
        <w:div w:id="688531586">
          <w:marLeft w:val="0"/>
          <w:marRight w:val="0"/>
          <w:marTop w:val="0"/>
          <w:marBottom w:val="0"/>
          <w:divBdr>
            <w:top w:val="none" w:sz="0" w:space="0" w:color="auto"/>
            <w:left w:val="none" w:sz="0" w:space="0" w:color="auto"/>
            <w:bottom w:val="none" w:sz="0" w:space="0" w:color="auto"/>
            <w:right w:val="none" w:sz="0" w:space="0" w:color="auto"/>
          </w:divBdr>
        </w:div>
        <w:div w:id="364868404">
          <w:marLeft w:val="0"/>
          <w:marRight w:val="0"/>
          <w:marTop w:val="0"/>
          <w:marBottom w:val="0"/>
          <w:divBdr>
            <w:top w:val="none" w:sz="0" w:space="0" w:color="auto"/>
            <w:left w:val="none" w:sz="0" w:space="0" w:color="auto"/>
            <w:bottom w:val="none" w:sz="0" w:space="0" w:color="auto"/>
            <w:right w:val="none" w:sz="0" w:space="0" w:color="auto"/>
          </w:divBdr>
        </w:div>
        <w:div w:id="1231695299">
          <w:marLeft w:val="0"/>
          <w:marRight w:val="0"/>
          <w:marTop w:val="0"/>
          <w:marBottom w:val="0"/>
          <w:divBdr>
            <w:top w:val="none" w:sz="0" w:space="0" w:color="auto"/>
            <w:left w:val="none" w:sz="0" w:space="0" w:color="auto"/>
            <w:bottom w:val="none" w:sz="0" w:space="0" w:color="auto"/>
            <w:right w:val="none" w:sz="0" w:space="0" w:color="auto"/>
          </w:divBdr>
        </w:div>
        <w:div w:id="923150412">
          <w:marLeft w:val="0"/>
          <w:marRight w:val="0"/>
          <w:marTop w:val="0"/>
          <w:marBottom w:val="0"/>
          <w:divBdr>
            <w:top w:val="none" w:sz="0" w:space="0" w:color="auto"/>
            <w:left w:val="none" w:sz="0" w:space="0" w:color="auto"/>
            <w:bottom w:val="none" w:sz="0" w:space="0" w:color="auto"/>
            <w:right w:val="none" w:sz="0" w:space="0" w:color="auto"/>
          </w:divBdr>
        </w:div>
        <w:div w:id="1952474208">
          <w:marLeft w:val="0"/>
          <w:marRight w:val="0"/>
          <w:marTop w:val="0"/>
          <w:marBottom w:val="0"/>
          <w:divBdr>
            <w:top w:val="none" w:sz="0" w:space="0" w:color="auto"/>
            <w:left w:val="none" w:sz="0" w:space="0" w:color="auto"/>
            <w:bottom w:val="none" w:sz="0" w:space="0" w:color="auto"/>
            <w:right w:val="none" w:sz="0" w:space="0" w:color="auto"/>
          </w:divBdr>
        </w:div>
        <w:div w:id="1298756377">
          <w:marLeft w:val="0"/>
          <w:marRight w:val="0"/>
          <w:marTop w:val="0"/>
          <w:marBottom w:val="0"/>
          <w:divBdr>
            <w:top w:val="none" w:sz="0" w:space="0" w:color="auto"/>
            <w:left w:val="none" w:sz="0" w:space="0" w:color="auto"/>
            <w:bottom w:val="none" w:sz="0" w:space="0" w:color="auto"/>
            <w:right w:val="none" w:sz="0" w:space="0" w:color="auto"/>
          </w:divBdr>
        </w:div>
        <w:div w:id="1066294449">
          <w:marLeft w:val="0"/>
          <w:marRight w:val="0"/>
          <w:marTop w:val="0"/>
          <w:marBottom w:val="0"/>
          <w:divBdr>
            <w:top w:val="none" w:sz="0" w:space="0" w:color="auto"/>
            <w:left w:val="none" w:sz="0" w:space="0" w:color="auto"/>
            <w:bottom w:val="none" w:sz="0" w:space="0" w:color="auto"/>
            <w:right w:val="none" w:sz="0" w:space="0" w:color="auto"/>
          </w:divBdr>
        </w:div>
        <w:div w:id="78798671">
          <w:marLeft w:val="0"/>
          <w:marRight w:val="0"/>
          <w:marTop w:val="0"/>
          <w:marBottom w:val="0"/>
          <w:divBdr>
            <w:top w:val="none" w:sz="0" w:space="0" w:color="auto"/>
            <w:left w:val="none" w:sz="0" w:space="0" w:color="auto"/>
            <w:bottom w:val="none" w:sz="0" w:space="0" w:color="auto"/>
            <w:right w:val="none" w:sz="0" w:space="0" w:color="auto"/>
          </w:divBdr>
        </w:div>
        <w:div w:id="2082290072">
          <w:marLeft w:val="0"/>
          <w:marRight w:val="0"/>
          <w:marTop w:val="0"/>
          <w:marBottom w:val="0"/>
          <w:divBdr>
            <w:top w:val="none" w:sz="0" w:space="0" w:color="auto"/>
            <w:left w:val="none" w:sz="0" w:space="0" w:color="auto"/>
            <w:bottom w:val="none" w:sz="0" w:space="0" w:color="auto"/>
            <w:right w:val="none" w:sz="0" w:space="0" w:color="auto"/>
          </w:divBdr>
        </w:div>
        <w:div w:id="150293590">
          <w:marLeft w:val="0"/>
          <w:marRight w:val="0"/>
          <w:marTop w:val="0"/>
          <w:marBottom w:val="0"/>
          <w:divBdr>
            <w:top w:val="none" w:sz="0" w:space="0" w:color="auto"/>
            <w:left w:val="none" w:sz="0" w:space="0" w:color="auto"/>
            <w:bottom w:val="none" w:sz="0" w:space="0" w:color="auto"/>
            <w:right w:val="none" w:sz="0" w:space="0" w:color="auto"/>
          </w:divBdr>
        </w:div>
        <w:div w:id="818964765">
          <w:marLeft w:val="0"/>
          <w:marRight w:val="0"/>
          <w:marTop w:val="0"/>
          <w:marBottom w:val="0"/>
          <w:divBdr>
            <w:top w:val="none" w:sz="0" w:space="0" w:color="auto"/>
            <w:left w:val="none" w:sz="0" w:space="0" w:color="auto"/>
            <w:bottom w:val="none" w:sz="0" w:space="0" w:color="auto"/>
            <w:right w:val="none" w:sz="0" w:space="0" w:color="auto"/>
          </w:divBdr>
        </w:div>
        <w:div w:id="719943549">
          <w:marLeft w:val="0"/>
          <w:marRight w:val="0"/>
          <w:marTop w:val="0"/>
          <w:marBottom w:val="0"/>
          <w:divBdr>
            <w:top w:val="none" w:sz="0" w:space="0" w:color="auto"/>
            <w:left w:val="none" w:sz="0" w:space="0" w:color="auto"/>
            <w:bottom w:val="none" w:sz="0" w:space="0" w:color="auto"/>
            <w:right w:val="none" w:sz="0" w:space="0" w:color="auto"/>
          </w:divBdr>
        </w:div>
        <w:div w:id="337080509">
          <w:marLeft w:val="0"/>
          <w:marRight w:val="0"/>
          <w:marTop w:val="0"/>
          <w:marBottom w:val="0"/>
          <w:divBdr>
            <w:top w:val="none" w:sz="0" w:space="0" w:color="auto"/>
            <w:left w:val="none" w:sz="0" w:space="0" w:color="auto"/>
            <w:bottom w:val="none" w:sz="0" w:space="0" w:color="auto"/>
            <w:right w:val="none" w:sz="0" w:space="0" w:color="auto"/>
          </w:divBdr>
        </w:div>
        <w:div w:id="890115559">
          <w:marLeft w:val="0"/>
          <w:marRight w:val="0"/>
          <w:marTop w:val="0"/>
          <w:marBottom w:val="0"/>
          <w:divBdr>
            <w:top w:val="none" w:sz="0" w:space="0" w:color="auto"/>
            <w:left w:val="none" w:sz="0" w:space="0" w:color="auto"/>
            <w:bottom w:val="none" w:sz="0" w:space="0" w:color="auto"/>
            <w:right w:val="none" w:sz="0" w:space="0" w:color="auto"/>
          </w:divBdr>
        </w:div>
        <w:div w:id="1326787443">
          <w:marLeft w:val="0"/>
          <w:marRight w:val="0"/>
          <w:marTop w:val="0"/>
          <w:marBottom w:val="0"/>
          <w:divBdr>
            <w:top w:val="none" w:sz="0" w:space="0" w:color="auto"/>
            <w:left w:val="none" w:sz="0" w:space="0" w:color="auto"/>
            <w:bottom w:val="none" w:sz="0" w:space="0" w:color="auto"/>
            <w:right w:val="none" w:sz="0" w:space="0" w:color="auto"/>
          </w:divBdr>
        </w:div>
        <w:div w:id="2026782638">
          <w:marLeft w:val="0"/>
          <w:marRight w:val="0"/>
          <w:marTop w:val="0"/>
          <w:marBottom w:val="0"/>
          <w:divBdr>
            <w:top w:val="none" w:sz="0" w:space="0" w:color="auto"/>
            <w:left w:val="none" w:sz="0" w:space="0" w:color="auto"/>
            <w:bottom w:val="none" w:sz="0" w:space="0" w:color="auto"/>
            <w:right w:val="none" w:sz="0" w:space="0" w:color="auto"/>
          </w:divBdr>
        </w:div>
        <w:div w:id="108863850">
          <w:marLeft w:val="0"/>
          <w:marRight w:val="0"/>
          <w:marTop w:val="0"/>
          <w:marBottom w:val="0"/>
          <w:divBdr>
            <w:top w:val="none" w:sz="0" w:space="0" w:color="auto"/>
            <w:left w:val="none" w:sz="0" w:space="0" w:color="auto"/>
            <w:bottom w:val="none" w:sz="0" w:space="0" w:color="auto"/>
            <w:right w:val="none" w:sz="0" w:space="0" w:color="auto"/>
          </w:divBdr>
        </w:div>
        <w:div w:id="1802183478">
          <w:marLeft w:val="0"/>
          <w:marRight w:val="0"/>
          <w:marTop w:val="0"/>
          <w:marBottom w:val="0"/>
          <w:divBdr>
            <w:top w:val="none" w:sz="0" w:space="0" w:color="auto"/>
            <w:left w:val="none" w:sz="0" w:space="0" w:color="auto"/>
            <w:bottom w:val="none" w:sz="0" w:space="0" w:color="auto"/>
            <w:right w:val="none" w:sz="0" w:space="0" w:color="auto"/>
          </w:divBdr>
        </w:div>
        <w:div w:id="1687826091">
          <w:marLeft w:val="0"/>
          <w:marRight w:val="0"/>
          <w:marTop w:val="0"/>
          <w:marBottom w:val="0"/>
          <w:divBdr>
            <w:top w:val="none" w:sz="0" w:space="0" w:color="auto"/>
            <w:left w:val="none" w:sz="0" w:space="0" w:color="auto"/>
            <w:bottom w:val="none" w:sz="0" w:space="0" w:color="auto"/>
            <w:right w:val="none" w:sz="0" w:space="0" w:color="auto"/>
          </w:divBdr>
        </w:div>
        <w:div w:id="1746761165">
          <w:marLeft w:val="0"/>
          <w:marRight w:val="0"/>
          <w:marTop w:val="0"/>
          <w:marBottom w:val="0"/>
          <w:divBdr>
            <w:top w:val="none" w:sz="0" w:space="0" w:color="auto"/>
            <w:left w:val="none" w:sz="0" w:space="0" w:color="auto"/>
            <w:bottom w:val="none" w:sz="0" w:space="0" w:color="auto"/>
            <w:right w:val="none" w:sz="0" w:space="0" w:color="auto"/>
          </w:divBdr>
        </w:div>
        <w:div w:id="1950120042">
          <w:marLeft w:val="0"/>
          <w:marRight w:val="0"/>
          <w:marTop w:val="0"/>
          <w:marBottom w:val="0"/>
          <w:divBdr>
            <w:top w:val="none" w:sz="0" w:space="0" w:color="auto"/>
            <w:left w:val="none" w:sz="0" w:space="0" w:color="auto"/>
            <w:bottom w:val="none" w:sz="0" w:space="0" w:color="auto"/>
            <w:right w:val="none" w:sz="0" w:space="0" w:color="auto"/>
          </w:divBdr>
        </w:div>
        <w:div w:id="556821382">
          <w:marLeft w:val="0"/>
          <w:marRight w:val="0"/>
          <w:marTop w:val="0"/>
          <w:marBottom w:val="0"/>
          <w:divBdr>
            <w:top w:val="none" w:sz="0" w:space="0" w:color="auto"/>
            <w:left w:val="none" w:sz="0" w:space="0" w:color="auto"/>
            <w:bottom w:val="none" w:sz="0" w:space="0" w:color="auto"/>
            <w:right w:val="none" w:sz="0" w:space="0" w:color="auto"/>
          </w:divBdr>
        </w:div>
        <w:div w:id="757947994">
          <w:marLeft w:val="0"/>
          <w:marRight w:val="0"/>
          <w:marTop w:val="0"/>
          <w:marBottom w:val="0"/>
          <w:divBdr>
            <w:top w:val="none" w:sz="0" w:space="0" w:color="auto"/>
            <w:left w:val="none" w:sz="0" w:space="0" w:color="auto"/>
            <w:bottom w:val="none" w:sz="0" w:space="0" w:color="auto"/>
            <w:right w:val="none" w:sz="0" w:space="0" w:color="auto"/>
          </w:divBdr>
        </w:div>
        <w:div w:id="1263341149">
          <w:marLeft w:val="0"/>
          <w:marRight w:val="0"/>
          <w:marTop w:val="0"/>
          <w:marBottom w:val="0"/>
          <w:divBdr>
            <w:top w:val="none" w:sz="0" w:space="0" w:color="auto"/>
            <w:left w:val="none" w:sz="0" w:space="0" w:color="auto"/>
            <w:bottom w:val="none" w:sz="0" w:space="0" w:color="auto"/>
            <w:right w:val="none" w:sz="0" w:space="0" w:color="auto"/>
          </w:divBdr>
        </w:div>
        <w:div w:id="2137947943">
          <w:marLeft w:val="0"/>
          <w:marRight w:val="0"/>
          <w:marTop w:val="0"/>
          <w:marBottom w:val="0"/>
          <w:divBdr>
            <w:top w:val="none" w:sz="0" w:space="0" w:color="auto"/>
            <w:left w:val="none" w:sz="0" w:space="0" w:color="auto"/>
            <w:bottom w:val="none" w:sz="0" w:space="0" w:color="auto"/>
            <w:right w:val="none" w:sz="0" w:space="0" w:color="auto"/>
          </w:divBdr>
        </w:div>
        <w:div w:id="751855663">
          <w:marLeft w:val="0"/>
          <w:marRight w:val="0"/>
          <w:marTop w:val="0"/>
          <w:marBottom w:val="0"/>
          <w:divBdr>
            <w:top w:val="none" w:sz="0" w:space="0" w:color="auto"/>
            <w:left w:val="none" w:sz="0" w:space="0" w:color="auto"/>
            <w:bottom w:val="none" w:sz="0" w:space="0" w:color="auto"/>
            <w:right w:val="none" w:sz="0" w:space="0" w:color="auto"/>
          </w:divBdr>
        </w:div>
        <w:div w:id="193033565">
          <w:marLeft w:val="0"/>
          <w:marRight w:val="0"/>
          <w:marTop w:val="0"/>
          <w:marBottom w:val="0"/>
          <w:divBdr>
            <w:top w:val="none" w:sz="0" w:space="0" w:color="auto"/>
            <w:left w:val="none" w:sz="0" w:space="0" w:color="auto"/>
            <w:bottom w:val="none" w:sz="0" w:space="0" w:color="auto"/>
            <w:right w:val="none" w:sz="0" w:space="0" w:color="auto"/>
          </w:divBdr>
        </w:div>
        <w:div w:id="351034584">
          <w:marLeft w:val="0"/>
          <w:marRight w:val="0"/>
          <w:marTop w:val="0"/>
          <w:marBottom w:val="0"/>
          <w:divBdr>
            <w:top w:val="none" w:sz="0" w:space="0" w:color="auto"/>
            <w:left w:val="none" w:sz="0" w:space="0" w:color="auto"/>
            <w:bottom w:val="none" w:sz="0" w:space="0" w:color="auto"/>
            <w:right w:val="none" w:sz="0" w:space="0" w:color="auto"/>
          </w:divBdr>
        </w:div>
        <w:div w:id="1947929746">
          <w:marLeft w:val="0"/>
          <w:marRight w:val="0"/>
          <w:marTop w:val="0"/>
          <w:marBottom w:val="0"/>
          <w:divBdr>
            <w:top w:val="none" w:sz="0" w:space="0" w:color="auto"/>
            <w:left w:val="none" w:sz="0" w:space="0" w:color="auto"/>
            <w:bottom w:val="none" w:sz="0" w:space="0" w:color="auto"/>
            <w:right w:val="none" w:sz="0" w:space="0" w:color="auto"/>
          </w:divBdr>
        </w:div>
        <w:div w:id="1101410925">
          <w:marLeft w:val="0"/>
          <w:marRight w:val="0"/>
          <w:marTop w:val="0"/>
          <w:marBottom w:val="0"/>
          <w:divBdr>
            <w:top w:val="none" w:sz="0" w:space="0" w:color="auto"/>
            <w:left w:val="none" w:sz="0" w:space="0" w:color="auto"/>
            <w:bottom w:val="none" w:sz="0" w:space="0" w:color="auto"/>
            <w:right w:val="none" w:sz="0" w:space="0" w:color="auto"/>
          </w:divBdr>
        </w:div>
        <w:div w:id="146560447">
          <w:marLeft w:val="0"/>
          <w:marRight w:val="0"/>
          <w:marTop w:val="0"/>
          <w:marBottom w:val="0"/>
          <w:divBdr>
            <w:top w:val="none" w:sz="0" w:space="0" w:color="auto"/>
            <w:left w:val="none" w:sz="0" w:space="0" w:color="auto"/>
            <w:bottom w:val="none" w:sz="0" w:space="0" w:color="auto"/>
            <w:right w:val="none" w:sz="0" w:space="0" w:color="auto"/>
          </w:divBdr>
        </w:div>
        <w:div w:id="653223780">
          <w:marLeft w:val="0"/>
          <w:marRight w:val="0"/>
          <w:marTop w:val="0"/>
          <w:marBottom w:val="0"/>
          <w:divBdr>
            <w:top w:val="none" w:sz="0" w:space="0" w:color="auto"/>
            <w:left w:val="none" w:sz="0" w:space="0" w:color="auto"/>
            <w:bottom w:val="none" w:sz="0" w:space="0" w:color="auto"/>
            <w:right w:val="none" w:sz="0" w:space="0" w:color="auto"/>
          </w:divBdr>
        </w:div>
        <w:div w:id="497381319">
          <w:marLeft w:val="0"/>
          <w:marRight w:val="0"/>
          <w:marTop w:val="0"/>
          <w:marBottom w:val="0"/>
          <w:divBdr>
            <w:top w:val="none" w:sz="0" w:space="0" w:color="auto"/>
            <w:left w:val="none" w:sz="0" w:space="0" w:color="auto"/>
            <w:bottom w:val="none" w:sz="0" w:space="0" w:color="auto"/>
            <w:right w:val="none" w:sz="0" w:space="0" w:color="auto"/>
          </w:divBdr>
        </w:div>
        <w:div w:id="1636400650">
          <w:marLeft w:val="0"/>
          <w:marRight w:val="0"/>
          <w:marTop w:val="0"/>
          <w:marBottom w:val="0"/>
          <w:divBdr>
            <w:top w:val="none" w:sz="0" w:space="0" w:color="auto"/>
            <w:left w:val="none" w:sz="0" w:space="0" w:color="auto"/>
            <w:bottom w:val="none" w:sz="0" w:space="0" w:color="auto"/>
            <w:right w:val="none" w:sz="0" w:space="0" w:color="auto"/>
          </w:divBdr>
        </w:div>
        <w:div w:id="2086224674">
          <w:marLeft w:val="0"/>
          <w:marRight w:val="0"/>
          <w:marTop w:val="0"/>
          <w:marBottom w:val="0"/>
          <w:divBdr>
            <w:top w:val="none" w:sz="0" w:space="0" w:color="auto"/>
            <w:left w:val="none" w:sz="0" w:space="0" w:color="auto"/>
            <w:bottom w:val="none" w:sz="0" w:space="0" w:color="auto"/>
            <w:right w:val="none" w:sz="0" w:space="0" w:color="auto"/>
          </w:divBdr>
        </w:div>
        <w:div w:id="400300422">
          <w:marLeft w:val="0"/>
          <w:marRight w:val="0"/>
          <w:marTop w:val="0"/>
          <w:marBottom w:val="0"/>
          <w:divBdr>
            <w:top w:val="none" w:sz="0" w:space="0" w:color="auto"/>
            <w:left w:val="none" w:sz="0" w:space="0" w:color="auto"/>
            <w:bottom w:val="none" w:sz="0" w:space="0" w:color="auto"/>
            <w:right w:val="none" w:sz="0" w:space="0" w:color="auto"/>
          </w:divBdr>
        </w:div>
        <w:div w:id="895432582">
          <w:marLeft w:val="0"/>
          <w:marRight w:val="0"/>
          <w:marTop w:val="0"/>
          <w:marBottom w:val="0"/>
          <w:divBdr>
            <w:top w:val="none" w:sz="0" w:space="0" w:color="auto"/>
            <w:left w:val="none" w:sz="0" w:space="0" w:color="auto"/>
            <w:bottom w:val="none" w:sz="0" w:space="0" w:color="auto"/>
            <w:right w:val="none" w:sz="0" w:space="0" w:color="auto"/>
          </w:divBdr>
        </w:div>
        <w:div w:id="448858908">
          <w:marLeft w:val="0"/>
          <w:marRight w:val="0"/>
          <w:marTop w:val="0"/>
          <w:marBottom w:val="0"/>
          <w:divBdr>
            <w:top w:val="none" w:sz="0" w:space="0" w:color="auto"/>
            <w:left w:val="none" w:sz="0" w:space="0" w:color="auto"/>
            <w:bottom w:val="none" w:sz="0" w:space="0" w:color="auto"/>
            <w:right w:val="none" w:sz="0" w:space="0" w:color="auto"/>
          </w:divBdr>
        </w:div>
        <w:div w:id="1038316806">
          <w:marLeft w:val="0"/>
          <w:marRight w:val="0"/>
          <w:marTop w:val="0"/>
          <w:marBottom w:val="0"/>
          <w:divBdr>
            <w:top w:val="none" w:sz="0" w:space="0" w:color="auto"/>
            <w:left w:val="none" w:sz="0" w:space="0" w:color="auto"/>
            <w:bottom w:val="none" w:sz="0" w:space="0" w:color="auto"/>
            <w:right w:val="none" w:sz="0" w:space="0" w:color="auto"/>
          </w:divBdr>
        </w:div>
        <w:div w:id="206769975">
          <w:marLeft w:val="0"/>
          <w:marRight w:val="0"/>
          <w:marTop w:val="0"/>
          <w:marBottom w:val="0"/>
          <w:divBdr>
            <w:top w:val="none" w:sz="0" w:space="0" w:color="auto"/>
            <w:left w:val="none" w:sz="0" w:space="0" w:color="auto"/>
            <w:bottom w:val="none" w:sz="0" w:space="0" w:color="auto"/>
            <w:right w:val="none" w:sz="0" w:space="0" w:color="auto"/>
          </w:divBdr>
        </w:div>
        <w:div w:id="1173300196">
          <w:marLeft w:val="0"/>
          <w:marRight w:val="0"/>
          <w:marTop w:val="0"/>
          <w:marBottom w:val="0"/>
          <w:divBdr>
            <w:top w:val="none" w:sz="0" w:space="0" w:color="auto"/>
            <w:left w:val="none" w:sz="0" w:space="0" w:color="auto"/>
            <w:bottom w:val="none" w:sz="0" w:space="0" w:color="auto"/>
            <w:right w:val="none" w:sz="0" w:space="0" w:color="auto"/>
          </w:divBdr>
        </w:div>
        <w:div w:id="115754793">
          <w:marLeft w:val="0"/>
          <w:marRight w:val="0"/>
          <w:marTop w:val="0"/>
          <w:marBottom w:val="0"/>
          <w:divBdr>
            <w:top w:val="none" w:sz="0" w:space="0" w:color="auto"/>
            <w:left w:val="none" w:sz="0" w:space="0" w:color="auto"/>
            <w:bottom w:val="none" w:sz="0" w:space="0" w:color="auto"/>
            <w:right w:val="none" w:sz="0" w:space="0" w:color="auto"/>
          </w:divBdr>
        </w:div>
        <w:div w:id="193271409">
          <w:marLeft w:val="0"/>
          <w:marRight w:val="0"/>
          <w:marTop w:val="0"/>
          <w:marBottom w:val="0"/>
          <w:divBdr>
            <w:top w:val="none" w:sz="0" w:space="0" w:color="auto"/>
            <w:left w:val="none" w:sz="0" w:space="0" w:color="auto"/>
            <w:bottom w:val="none" w:sz="0" w:space="0" w:color="auto"/>
            <w:right w:val="none" w:sz="0" w:space="0" w:color="auto"/>
          </w:divBdr>
        </w:div>
        <w:div w:id="60836604">
          <w:marLeft w:val="0"/>
          <w:marRight w:val="0"/>
          <w:marTop w:val="0"/>
          <w:marBottom w:val="0"/>
          <w:divBdr>
            <w:top w:val="none" w:sz="0" w:space="0" w:color="auto"/>
            <w:left w:val="none" w:sz="0" w:space="0" w:color="auto"/>
            <w:bottom w:val="none" w:sz="0" w:space="0" w:color="auto"/>
            <w:right w:val="none" w:sz="0" w:space="0" w:color="auto"/>
          </w:divBdr>
        </w:div>
        <w:div w:id="821430940">
          <w:marLeft w:val="0"/>
          <w:marRight w:val="0"/>
          <w:marTop w:val="0"/>
          <w:marBottom w:val="0"/>
          <w:divBdr>
            <w:top w:val="none" w:sz="0" w:space="0" w:color="auto"/>
            <w:left w:val="none" w:sz="0" w:space="0" w:color="auto"/>
            <w:bottom w:val="none" w:sz="0" w:space="0" w:color="auto"/>
            <w:right w:val="none" w:sz="0" w:space="0" w:color="auto"/>
          </w:divBdr>
        </w:div>
        <w:div w:id="86076105">
          <w:marLeft w:val="0"/>
          <w:marRight w:val="0"/>
          <w:marTop w:val="0"/>
          <w:marBottom w:val="0"/>
          <w:divBdr>
            <w:top w:val="none" w:sz="0" w:space="0" w:color="auto"/>
            <w:left w:val="none" w:sz="0" w:space="0" w:color="auto"/>
            <w:bottom w:val="none" w:sz="0" w:space="0" w:color="auto"/>
            <w:right w:val="none" w:sz="0" w:space="0" w:color="auto"/>
          </w:divBdr>
        </w:div>
        <w:div w:id="1510293599">
          <w:marLeft w:val="0"/>
          <w:marRight w:val="0"/>
          <w:marTop w:val="0"/>
          <w:marBottom w:val="0"/>
          <w:divBdr>
            <w:top w:val="none" w:sz="0" w:space="0" w:color="auto"/>
            <w:left w:val="none" w:sz="0" w:space="0" w:color="auto"/>
            <w:bottom w:val="none" w:sz="0" w:space="0" w:color="auto"/>
            <w:right w:val="none" w:sz="0" w:space="0" w:color="auto"/>
          </w:divBdr>
        </w:div>
        <w:div w:id="212038125">
          <w:marLeft w:val="0"/>
          <w:marRight w:val="0"/>
          <w:marTop w:val="0"/>
          <w:marBottom w:val="0"/>
          <w:divBdr>
            <w:top w:val="none" w:sz="0" w:space="0" w:color="auto"/>
            <w:left w:val="none" w:sz="0" w:space="0" w:color="auto"/>
            <w:bottom w:val="none" w:sz="0" w:space="0" w:color="auto"/>
            <w:right w:val="none" w:sz="0" w:space="0" w:color="auto"/>
          </w:divBdr>
        </w:div>
        <w:div w:id="1211840751">
          <w:marLeft w:val="0"/>
          <w:marRight w:val="0"/>
          <w:marTop w:val="0"/>
          <w:marBottom w:val="0"/>
          <w:divBdr>
            <w:top w:val="none" w:sz="0" w:space="0" w:color="auto"/>
            <w:left w:val="none" w:sz="0" w:space="0" w:color="auto"/>
            <w:bottom w:val="none" w:sz="0" w:space="0" w:color="auto"/>
            <w:right w:val="none" w:sz="0" w:space="0" w:color="auto"/>
          </w:divBdr>
        </w:div>
        <w:div w:id="1098595649">
          <w:marLeft w:val="0"/>
          <w:marRight w:val="0"/>
          <w:marTop w:val="0"/>
          <w:marBottom w:val="0"/>
          <w:divBdr>
            <w:top w:val="none" w:sz="0" w:space="0" w:color="auto"/>
            <w:left w:val="none" w:sz="0" w:space="0" w:color="auto"/>
            <w:bottom w:val="none" w:sz="0" w:space="0" w:color="auto"/>
            <w:right w:val="none" w:sz="0" w:space="0" w:color="auto"/>
          </w:divBdr>
        </w:div>
        <w:div w:id="195121074">
          <w:marLeft w:val="0"/>
          <w:marRight w:val="0"/>
          <w:marTop w:val="0"/>
          <w:marBottom w:val="0"/>
          <w:divBdr>
            <w:top w:val="none" w:sz="0" w:space="0" w:color="auto"/>
            <w:left w:val="none" w:sz="0" w:space="0" w:color="auto"/>
            <w:bottom w:val="none" w:sz="0" w:space="0" w:color="auto"/>
            <w:right w:val="none" w:sz="0" w:space="0" w:color="auto"/>
          </w:divBdr>
        </w:div>
        <w:div w:id="2072918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v.uk/government/publications/covid-19-national-framework-for-prison-regimes-and-servi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intranet.noms.gsi.gov.uk/support/prison-education/new-futures-network" TargetMode="External"/><Relationship Id="rId2" Type="http://schemas.openxmlformats.org/officeDocument/2006/relationships/customXml" Target="../customXml/item2.xml"/><Relationship Id="rId16" Type="http://schemas.openxmlformats.org/officeDocument/2006/relationships/hyperlink" Target="https://www.nhs.uk/conditions/coronavirus-covid-19/sympto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covid-19-national-framework-for-prison-regimes-and-servic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national-framework-for-prison-regimes-and-servi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E2CE47E850574BAB7520436FEE0450" ma:contentTypeVersion="13" ma:contentTypeDescription="Create a new document." ma:contentTypeScope="" ma:versionID="0809a8a30e4babf4837363486a28e9cd">
  <xsd:schema xmlns:xsd="http://www.w3.org/2001/XMLSchema" xmlns:xs="http://www.w3.org/2001/XMLSchema" xmlns:p="http://schemas.microsoft.com/office/2006/metadata/properties" xmlns:ns3="5063a365-6283-4188-b242-7c93887165ec" xmlns:ns4="bcd0cf87-8fd9-4692-a0da-6c63d854522d" targetNamespace="http://schemas.microsoft.com/office/2006/metadata/properties" ma:root="true" ma:fieldsID="8db3838f6d8c0c45ef8cc8fe79f0b63f" ns3:_="" ns4:_="">
    <xsd:import namespace="5063a365-6283-4188-b242-7c93887165ec"/>
    <xsd:import namespace="bcd0cf87-8fd9-4692-a0da-6c63d85452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3a365-6283-4188-b242-7c9388716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0cf87-8fd9-4692-a0da-6c63d854522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6E2431F-1895-4927-81CF-EFA34E03838B}">
  <ds:schemaRefs>
    <ds:schemaRef ds:uri="http://schemas.microsoft.com/sharepoint/v3/contenttype/forms"/>
  </ds:schemaRefs>
</ds:datastoreItem>
</file>

<file path=customXml/itemProps2.xml><?xml version="1.0" encoding="utf-8"?>
<ds:datastoreItem xmlns:ds="http://schemas.openxmlformats.org/officeDocument/2006/customXml" ds:itemID="{7512CE10-3B59-4264-9A05-CE285072CF92}">
  <ds:schemaRefs>
    <ds:schemaRef ds:uri="http://schemas.microsoft.com/office/2006/metadata/properties"/>
    <ds:schemaRef ds:uri="bcd0cf87-8fd9-4692-a0da-6c63d854522d"/>
    <ds:schemaRef ds:uri="http://purl.org/dc/terms/"/>
    <ds:schemaRef ds:uri="http://schemas.microsoft.com/office/2006/documentManagement/types"/>
    <ds:schemaRef ds:uri="5063a365-6283-4188-b242-7c93887165ec"/>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FABC49D-358B-4AEF-81E1-B1B53F3BB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3a365-6283-4188-b242-7c93887165ec"/>
    <ds:schemaRef ds:uri="bcd0cf87-8fd9-4692-a0da-6c63d8545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FAA52A-F9B9-421A-85BF-45995AE6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2975</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Bruski, Milosz [HMPS]</dc:creator>
  <cp:keywords/>
  <dc:description/>
  <cp:lastModifiedBy>Bowles, Nicola</cp:lastModifiedBy>
  <cp:revision>3</cp:revision>
  <dcterms:created xsi:type="dcterms:W3CDTF">2020-07-06T15:02:00Z</dcterms:created>
  <dcterms:modified xsi:type="dcterms:W3CDTF">2020-07-06T15:19:00Z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0x010100C8E2CE47E850574BAB7520436FEE0450</vt:lpwstr>
  </property>
</Properties>
</file>