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7CC1358F" w14:textId="77777777" w:rsidTr="00E46BF5">
        <w:trPr>
          <w:trHeight w:hRule="exact" w:val="2796"/>
        </w:trPr>
        <w:tc>
          <w:tcPr>
            <w:tcW w:w="9468" w:type="dxa"/>
            <w:shd w:val="clear" w:color="auto" w:fill="auto"/>
          </w:tcPr>
          <w:p w14:paraId="3F1AA88E" w14:textId="3AACD3CE" w:rsidR="005166D4" w:rsidRDefault="005166D4" w:rsidP="00E46BF5">
            <w:pPr>
              <w:jc w:val="both"/>
            </w:pPr>
          </w:p>
          <w:p w14:paraId="045F50EA" w14:textId="77777777" w:rsidR="005166D4" w:rsidRPr="005166D4" w:rsidRDefault="005166D4" w:rsidP="005166D4"/>
          <w:p w14:paraId="134663A6" w14:textId="57AFDCB9" w:rsidR="005166D4" w:rsidRDefault="005166D4" w:rsidP="005166D4"/>
          <w:p w14:paraId="10B39C7F" w14:textId="55876E35" w:rsidR="00175092" w:rsidRPr="005166D4" w:rsidRDefault="005166D4" w:rsidP="005166D4">
            <w:pPr>
              <w:tabs>
                <w:tab w:val="left" w:pos="3090"/>
              </w:tabs>
            </w:pPr>
            <w:r>
              <w:tab/>
            </w:r>
          </w:p>
        </w:tc>
      </w:tr>
      <w:tr w:rsidR="00175092" w:rsidRPr="00550D4A" w14:paraId="5C67B1C2" w14:textId="77777777" w:rsidTr="00E46BF5">
        <w:trPr>
          <w:trHeight w:hRule="exact" w:val="4253"/>
        </w:trPr>
        <w:tc>
          <w:tcPr>
            <w:tcW w:w="9468" w:type="dxa"/>
            <w:shd w:val="clear" w:color="auto" w:fill="auto"/>
          </w:tcPr>
          <w:p w14:paraId="1B30B752" w14:textId="77777777" w:rsidR="00BC541C" w:rsidRDefault="00BC541C" w:rsidP="00E46BF5">
            <w:pPr>
              <w:pStyle w:val="CoverTitle"/>
              <w:rPr>
                <w:sz w:val="52"/>
                <w:szCs w:val="52"/>
              </w:rPr>
            </w:pPr>
            <w:r w:rsidRPr="00BC541C">
              <w:rPr>
                <w:sz w:val="52"/>
                <w:szCs w:val="52"/>
              </w:rPr>
              <w:t>HMPPS Prison Regime Recovery Planning</w:t>
            </w:r>
            <w:r>
              <w:rPr>
                <w:sz w:val="52"/>
                <w:szCs w:val="52"/>
              </w:rPr>
              <w:t xml:space="preserve"> – </w:t>
            </w:r>
          </w:p>
          <w:p w14:paraId="36F58EBF" w14:textId="10DB7770" w:rsidR="00BC541C" w:rsidRDefault="00BC541C" w:rsidP="00BC541C">
            <w:pPr>
              <w:pStyle w:val="CoverTitle"/>
              <w:rPr>
                <w:sz w:val="52"/>
                <w:szCs w:val="52"/>
              </w:rPr>
            </w:pPr>
            <w:r>
              <w:rPr>
                <w:sz w:val="52"/>
                <w:szCs w:val="52"/>
              </w:rPr>
              <w:t>Exceptional Delivery Model (EDM)</w:t>
            </w:r>
            <w:r w:rsidR="002A2A32">
              <w:rPr>
                <w:sz w:val="52"/>
                <w:szCs w:val="52"/>
              </w:rPr>
              <w:t xml:space="preserve"> 5</w:t>
            </w:r>
          </w:p>
          <w:p w14:paraId="0571F395" w14:textId="6D8E6221" w:rsidR="00BC541C" w:rsidRDefault="00A772E2" w:rsidP="00BA362F">
            <w:pPr>
              <w:pStyle w:val="CoverTitle"/>
              <w:rPr>
                <w:sz w:val="52"/>
                <w:szCs w:val="52"/>
              </w:rPr>
            </w:pPr>
            <w:r>
              <w:rPr>
                <w:sz w:val="52"/>
                <w:szCs w:val="52"/>
              </w:rPr>
              <w:t>Offender Management Unit</w:t>
            </w:r>
            <w:r w:rsidR="00553F24">
              <w:rPr>
                <w:sz w:val="52"/>
                <w:szCs w:val="52"/>
              </w:rPr>
              <w:t>s</w:t>
            </w:r>
          </w:p>
          <w:p w14:paraId="0A578BAB" w14:textId="1654049B" w:rsidR="00D033DF" w:rsidRPr="00BC541C" w:rsidRDefault="00D033DF" w:rsidP="00BA362F">
            <w:pPr>
              <w:pStyle w:val="CoverTitle"/>
              <w:rPr>
                <w:sz w:val="52"/>
                <w:szCs w:val="52"/>
              </w:rPr>
            </w:pPr>
            <w:r>
              <w:rPr>
                <w:sz w:val="52"/>
                <w:szCs w:val="52"/>
              </w:rPr>
              <w:t xml:space="preserve">Agreed </w:t>
            </w:r>
            <w:r w:rsidR="00F32726">
              <w:rPr>
                <w:sz w:val="52"/>
                <w:szCs w:val="52"/>
              </w:rPr>
              <w:t xml:space="preserve">Published </w:t>
            </w:r>
            <w:r>
              <w:rPr>
                <w:sz w:val="52"/>
                <w:szCs w:val="52"/>
              </w:rPr>
              <w:t>Version 1.0</w:t>
            </w:r>
          </w:p>
          <w:p w14:paraId="7F9A4576" w14:textId="77777777" w:rsidR="00BC541C" w:rsidRPr="00550D4A" w:rsidRDefault="00BC541C" w:rsidP="00E46BF5">
            <w:pPr>
              <w:pStyle w:val="CoverTitle"/>
            </w:pPr>
          </w:p>
        </w:tc>
      </w:tr>
      <w:tr w:rsidR="00175092" w:rsidRPr="00EA1B3A" w14:paraId="5CFCA3E3" w14:textId="77777777" w:rsidTr="00E46BF5">
        <w:trPr>
          <w:trHeight w:hRule="exact" w:val="1985"/>
        </w:trPr>
        <w:tc>
          <w:tcPr>
            <w:tcW w:w="9468" w:type="dxa"/>
            <w:shd w:val="clear" w:color="auto" w:fill="auto"/>
          </w:tcPr>
          <w:p w14:paraId="111B3CEA" w14:textId="77777777" w:rsidR="00175092" w:rsidRPr="006A79AE" w:rsidRDefault="00175092" w:rsidP="00E46BF5">
            <w:pPr>
              <w:pStyle w:val="CoverAuthor"/>
              <w:jc w:val="both"/>
              <w:rPr>
                <w:b/>
              </w:rPr>
            </w:pPr>
          </w:p>
        </w:tc>
      </w:tr>
      <w:tr w:rsidR="00175092" w:rsidRPr="00EA1B3A" w14:paraId="188EABEB" w14:textId="77777777" w:rsidTr="00E46BF5">
        <w:tblPrEx>
          <w:tblCellMar>
            <w:left w:w="108" w:type="dxa"/>
            <w:right w:w="108" w:type="dxa"/>
          </w:tblCellMar>
        </w:tblPrEx>
        <w:tc>
          <w:tcPr>
            <w:tcW w:w="10286" w:type="dxa"/>
            <w:shd w:val="clear" w:color="auto" w:fill="auto"/>
          </w:tcPr>
          <w:p w14:paraId="63283539" w14:textId="79634009" w:rsidR="00175092" w:rsidRPr="006A79AE" w:rsidRDefault="00D033DF" w:rsidP="00E46BF5">
            <w:pPr>
              <w:pStyle w:val="CoverDate"/>
              <w:jc w:val="both"/>
              <w:rPr>
                <w:b/>
              </w:rPr>
            </w:pPr>
            <w:r>
              <w:rPr>
                <w:b/>
              </w:rPr>
              <w:t>3 July 2020</w:t>
            </w:r>
          </w:p>
        </w:tc>
      </w:tr>
    </w:tbl>
    <w:p w14:paraId="3466128A" w14:textId="77777777" w:rsidR="00175092" w:rsidRDefault="00175092" w:rsidP="00175092">
      <w:pPr>
        <w:spacing w:after="0"/>
        <w:jc w:val="both"/>
      </w:pPr>
    </w:p>
    <w:p w14:paraId="4AE20C80" w14:textId="77777777" w:rsidR="00BA362F" w:rsidRDefault="00BA362F" w:rsidP="00175092">
      <w:pPr>
        <w:spacing w:after="0"/>
        <w:jc w:val="both"/>
      </w:pPr>
    </w:p>
    <w:p w14:paraId="5D067891" w14:textId="77777777" w:rsidR="00BA362F" w:rsidRDefault="00BA362F" w:rsidP="00175092">
      <w:pPr>
        <w:spacing w:after="0"/>
        <w:jc w:val="both"/>
        <w:sectPr w:rsidR="00BA362F" w:rsidSect="00ED1A94">
          <w:headerReference w:type="even" r:id="rId11"/>
          <w:footerReference w:type="default" r:id="rId12"/>
          <w:headerReference w:type="first" r:id="rId13"/>
          <w:footerReference w:type="first" r:id="rId14"/>
          <w:pgSz w:w="11906" w:h="16838" w:code="9"/>
          <w:pgMar w:top="1531" w:right="851" w:bottom="1134" w:left="851" w:header="737" w:footer="227" w:gutter="170"/>
          <w:cols w:space="312"/>
          <w:titlePg/>
          <w:docGrid w:linePitch="360"/>
        </w:sectPr>
      </w:pPr>
    </w:p>
    <w:p w14:paraId="5C4C4C5C" w14:textId="77777777" w:rsidR="00B22212" w:rsidRPr="008766BA" w:rsidRDefault="00B22212" w:rsidP="002930D1">
      <w:pPr>
        <w:spacing w:after="0" w:line="240" w:lineRule="auto"/>
        <w:jc w:val="both"/>
        <w:rPr>
          <w:b/>
          <w:sz w:val="24"/>
          <w:szCs w:val="24"/>
        </w:rPr>
      </w:pPr>
    </w:p>
    <w:p w14:paraId="00EE6082" w14:textId="61E2936B" w:rsidR="009D597B" w:rsidRPr="00F41807" w:rsidRDefault="002F5A37" w:rsidP="00F41807">
      <w:pPr>
        <w:spacing w:after="0" w:line="360" w:lineRule="auto"/>
        <w:jc w:val="both"/>
        <w:rPr>
          <w:b/>
          <w:sz w:val="32"/>
        </w:rPr>
      </w:pPr>
      <w:r>
        <w:rPr>
          <w:b/>
          <w:sz w:val="32"/>
        </w:rPr>
        <w:t>Offender Management Unit</w:t>
      </w:r>
    </w:p>
    <w:p w14:paraId="589E931E" w14:textId="77777777" w:rsidR="00100AEE" w:rsidRPr="00100AEE" w:rsidRDefault="00100AEE" w:rsidP="00100AEE">
      <w:pPr>
        <w:spacing w:after="0" w:line="360" w:lineRule="auto"/>
        <w:jc w:val="both"/>
        <w:rPr>
          <w:rFonts w:eastAsia="Times New Roman" w:cstheme="minorHAnsi"/>
          <w:b/>
          <w:u w:val="single"/>
        </w:rPr>
      </w:pPr>
      <w:r w:rsidRPr="00100AEE">
        <w:rPr>
          <w:rFonts w:eastAsia="Times New Roman" w:cstheme="minorHAnsi"/>
          <w:b/>
          <w:u w:val="single"/>
        </w:rPr>
        <w:t xml:space="preserve">Introduction </w:t>
      </w:r>
    </w:p>
    <w:p w14:paraId="567ED77D" w14:textId="77777777" w:rsidR="00100AEE" w:rsidRPr="00100AEE" w:rsidRDefault="00100AEE" w:rsidP="00100AEE">
      <w:pPr>
        <w:rPr>
          <w:rFonts w:cstheme="minorHAnsi"/>
          <w:b/>
          <w:bCs/>
          <w:u w:val="single"/>
        </w:rPr>
      </w:pPr>
      <w:r w:rsidRPr="00100AEE">
        <w:rPr>
          <w:rFonts w:cstheme="minorHAnsi"/>
          <w:b/>
          <w:bCs/>
          <w:u w:val="single"/>
        </w:rPr>
        <w:t>Exceptional Delivery Models (EDMs)</w:t>
      </w:r>
    </w:p>
    <w:p w14:paraId="5B1DBE56" w14:textId="725E4FC5" w:rsidR="00100AEE" w:rsidRPr="00100AEE" w:rsidRDefault="00100AEE" w:rsidP="00100AEE">
      <w:pPr>
        <w:jc w:val="both"/>
        <w:rPr>
          <w:rFonts w:cstheme="minorHAnsi"/>
        </w:rPr>
      </w:pPr>
      <w:r w:rsidRPr="00100AEE">
        <w:rPr>
          <w:rFonts w:cstheme="minorHAnsi"/>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100AEE">
        <w:rPr>
          <w:rFonts w:cstheme="minorHAnsi"/>
        </w:rPr>
        <w:t>cohorting</w:t>
      </w:r>
      <w:proofErr w:type="spellEnd"/>
      <w:r w:rsidRPr="00100AEE">
        <w:rPr>
          <w:rFonts w:cstheme="minorHAnsi"/>
        </w:rPr>
        <w:t xml:space="preserve"> measures, medical considerations, PPE and hygiene requirements (including regular hand-washing), as well as security and safety considerations. Each EDM will also guide establishments on the most procedurally just way to stand up each regime element under continuing COVID restrictions</w:t>
      </w:r>
      <w:r w:rsidR="000B243C">
        <w:rPr>
          <w:rFonts w:cstheme="minorHAnsi"/>
        </w:rPr>
        <w:t xml:space="preserve">, </w:t>
      </w:r>
      <w:r w:rsidR="000B243C">
        <w:rPr>
          <w:rFonts w:cstheme="minorHAnsi"/>
        </w:rPr>
        <w:t>and national UK Government and Welsh Government guidelines</w:t>
      </w:r>
      <w:r w:rsidR="000B243C" w:rsidRPr="00B2329B">
        <w:rPr>
          <w:rFonts w:cstheme="minorHAnsi"/>
        </w:rPr>
        <w:t>.</w:t>
      </w:r>
      <w:bookmarkStart w:id="0" w:name="_GoBack"/>
      <w:bookmarkEnd w:id="0"/>
      <w:r w:rsidRPr="00100AEE">
        <w:rPr>
          <w:rFonts w:cstheme="minorHAnsi"/>
        </w:rPr>
        <w:t xml:space="preserve"> </w:t>
      </w:r>
    </w:p>
    <w:p w14:paraId="1F1BC09C" w14:textId="77777777" w:rsidR="00100AEE" w:rsidRPr="00100AEE" w:rsidRDefault="00100AEE" w:rsidP="00100AEE">
      <w:pPr>
        <w:jc w:val="both"/>
        <w:rPr>
          <w:rFonts w:cstheme="minorHAnsi"/>
        </w:rPr>
      </w:pPr>
    </w:p>
    <w:p w14:paraId="06B8F293" w14:textId="77777777" w:rsidR="00100AEE" w:rsidRPr="00100AEE" w:rsidRDefault="00100AEE" w:rsidP="00100AEE">
      <w:pPr>
        <w:jc w:val="both"/>
        <w:rPr>
          <w:rFonts w:cstheme="minorHAnsi"/>
        </w:rPr>
      </w:pPr>
      <w:r w:rsidRPr="00100AEE">
        <w:rPr>
          <w:rFonts w:cstheme="minorHAnsi"/>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003E92F9" w14:textId="77777777" w:rsidR="00100AEE" w:rsidRPr="00100AEE" w:rsidRDefault="00100AEE" w:rsidP="00100AEE">
      <w:pPr>
        <w:jc w:val="both"/>
        <w:rPr>
          <w:rFonts w:cstheme="minorHAnsi"/>
          <w:highlight w:val="yellow"/>
        </w:rPr>
      </w:pPr>
    </w:p>
    <w:p w14:paraId="7B991C51" w14:textId="77777777" w:rsidR="00100AEE" w:rsidRPr="00100AEE" w:rsidRDefault="00100AEE" w:rsidP="00100AEE">
      <w:pPr>
        <w:jc w:val="both"/>
        <w:rPr>
          <w:rFonts w:cstheme="minorHAnsi"/>
        </w:rPr>
      </w:pPr>
      <w:r w:rsidRPr="00100AEE">
        <w:rPr>
          <w:rFonts w:cstheme="minorHAnsi"/>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3BE042AB" w14:textId="77777777" w:rsidR="00100AEE" w:rsidRPr="00100AEE" w:rsidRDefault="00100AEE" w:rsidP="00100AEE">
      <w:pPr>
        <w:spacing w:after="0" w:line="240" w:lineRule="auto"/>
        <w:jc w:val="both"/>
        <w:rPr>
          <w:rFonts w:eastAsia="Times New Roman" w:cstheme="minorHAnsi"/>
        </w:rPr>
      </w:pPr>
    </w:p>
    <w:p w14:paraId="256A69EC" w14:textId="77777777" w:rsidR="00100AEE" w:rsidRPr="00100AEE" w:rsidRDefault="00100AEE" w:rsidP="00100AEE">
      <w:pPr>
        <w:spacing w:after="0" w:line="240" w:lineRule="auto"/>
        <w:jc w:val="both"/>
        <w:rPr>
          <w:rFonts w:eastAsia="Times New Roman" w:cstheme="minorHAnsi"/>
        </w:rPr>
      </w:pPr>
      <w:r w:rsidRPr="00100AEE">
        <w:rPr>
          <w:rFonts w:eastAsia="Times New Roman" w:cstheme="minorHAnsi"/>
        </w:rPr>
        <w:t xml:space="preserve">This EDM outlines what activity will be </w:t>
      </w:r>
      <w:proofErr w:type="gramStart"/>
      <w:r w:rsidRPr="00100AEE">
        <w:rPr>
          <w:rFonts w:eastAsia="Times New Roman" w:cstheme="minorHAnsi"/>
        </w:rPr>
        <w:t>permitted  at</w:t>
      </w:r>
      <w:proofErr w:type="gramEnd"/>
      <w:r w:rsidRPr="00100AEE">
        <w:rPr>
          <w:rFonts w:eastAsia="Times New Roman" w:cstheme="minorHAnsi"/>
        </w:rPr>
        <w:t xml:space="preserve"> level 3 (restrict) moving towards level 2 (reduce).</w:t>
      </w:r>
    </w:p>
    <w:p w14:paraId="7E6E475D" w14:textId="77777777" w:rsidR="00100AEE" w:rsidRPr="00100AEE" w:rsidRDefault="00100AEE" w:rsidP="00100AEE">
      <w:pPr>
        <w:spacing w:after="0" w:line="240" w:lineRule="auto"/>
        <w:jc w:val="both"/>
        <w:rPr>
          <w:rFonts w:eastAsia="Times New Roman" w:cstheme="minorHAnsi"/>
        </w:rPr>
      </w:pPr>
    </w:p>
    <w:p w14:paraId="67B4C9AC" w14:textId="77777777" w:rsidR="00100AEE" w:rsidRPr="00100AEE" w:rsidRDefault="00100AEE" w:rsidP="00100AEE">
      <w:pPr>
        <w:jc w:val="both"/>
        <w:rPr>
          <w:rFonts w:cstheme="minorHAnsi"/>
          <w:b/>
          <w:bCs/>
          <w:u w:val="single"/>
        </w:rPr>
      </w:pPr>
      <w:r w:rsidRPr="00100AEE">
        <w:rPr>
          <w:rFonts w:cstheme="minorHAnsi"/>
          <w:b/>
          <w:bCs/>
          <w:u w:val="single"/>
        </w:rPr>
        <w:t>Regime Recovery Management Plans- RRMP</w:t>
      </w:r>
    </w:p>
    <w:p w14:paraId="1DA9B450" w14:textId="77777777" w:rsidR="00100AEE" w:rsidRPr="00100AEE" w:rsidRDefault="00100AEE" w:rsidP="00100AEE">
      <w:pPr>
        <w:jc w:val="both"/>
        <w:rPr>
          <w:rFonts w:cstheme="minorHAnsi"/>
        </w:rPr>
      </w:pPr>
      <w:r w:rsidRPr="00100AEE">
        <w:rPr>
          <w:rFonts w:cstheme="minorHAnsi"/>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4F0730A9" w14:textId="77777777" w:rsidR="00F41807" w:rsidRDefault="00F41807" w:rsidP="00F41807">
      <w:pPr>
        <w:spacing w:after="0" w:line="240" w:lineRule="auto"/>
        <w:jc w:val="both"/>
        <w:rPr>
          <w:rFonts w:ascii="Arial" w:eastAsia="Calibri" w:hAnsi="Arial" w:cs="Arial"/>
          <w:sz w:val="24"/>
          <w:szCs w:val="24"/>
          <w:lang w:bidi="he-IL"/>
        </w:rPr>
      </w:pPr>
    </w:p>
    <w:p w14:paraId="3A7FAC71" w14:textId="77777777" w:rsidR="00F41807" w:rsidRPr="002114FB" w:rsidRDefault="00F41807" w:rsidP="00F41807">
      <w:pPr>
        <w:spacing w:after="0" w:line="240" w:lineRule="auto"/>
        <w:jc w:val="both"/>
        <w:rPr>
          <w:rFonts w:cs="Arial"/>
          <w:b/>
        </w:rPr>
      </w:pPr>
      <w:r>
        <w:rPr>
          <w:rFonts w:cs="Arial"/>
          <w:b/>
        </w:rPr>
        <w:t>The EDM in relation to the delivery of Offender Management</w:t>
      </w:r>
      <w:r w:rsidRPr="002114FB">
        <w:rPr>
          <w:rFonts w:cs="Arial"/>
          <w:b/>
        </w:rPr>
        <w:t xml:space="preserve"> is provided overleaf.</w:t>
      </w:r>
      <w:r>
        <w:rPr>
          <w:rFonts w:cs="Arial"/>
          <w:b/>
        </w:rPr>
        <w:t xml:space="preserve"> This advice will be updated as Government guidance evolves and any changes to HMPPS regimes are made over-all.</w:t>
      </w:r>
    </w:p>
    <w:p w14:paraId="0ACB4EC4" w14:textId="77777777" w:rsidR="00F41807" w:rsidRDefault="00F41807" w:rsidP="00051EAD">
      <w:pPr>
        <w:spacing w:after="0" w:line="240" w:lineRule="auto"/>
        <w:jc w:val="both"/>
        <w:rPr>
          <w:rFonts w:ascii="Arial" w:eastAsia="Calibri" w:hAnsi="Arial" w:cs="Arial"/>
          <w:sz w:val="24"/>
          <w:szCs w:val="24"/>
          <w:lang w:bidi="he-IL"/>
        </w:rPr>
        <w:sectPr w:rsidR="00F41807" w:rsidSect="008D4DD3">
          <w:pgSz w:w="11906" w:h="16838"/>
          <w:pgMar w:top="1440" w:right="1440" w:bottom="1440" w:left="1440" w:header="708" w:footer="708" w:gutter="0"/>
          <w:cols w:space="708"/>
          <w:docGrid w:linePitch="360"/>
        </w:sectPr>
      </w:pPr>
    </w:p>
    <w:p w14:paraId="56BF4070" w14:textId="77777777" w:rsidR="00466746" w:rsidRDefault="00701B3D" w:rsidP="002F5A37">
      <w:pPr>
        <w:jc w:val="both"/>
        <w:rPr>
          <w:b/>
          <w:sz w:val="28"/>
          <w:szCs w:val="28"/>
        </w:rPr>
      </w:pPr>
      <w:r w:rsidRPr="00BC5317">
        <w:rPr>
          <w:b/>
          <w:sz w:val="28"/>
          <w:szCs w:val="28"/>
        </w:rPr>
        <w:lastRenderedPageBreak/>
        <w:t xml:space="preserve">Exceptional Delivery Regime </w:t>
      </w:r>
      <w:r w:rsidR="00466746">
        <w:rPr>
          <w:b/>
          <w:sz w:val="28"/>
          <w:szCs w:val="28"/>
        </w:rPr>
        <w:t>model: Offender Management Unit</w:t>
      </w:r>
    </w:p>
    <w:p w14:paraId="0217F75C" w14:textId="77777777" w:rsidR="0086412B" w:rsidRPr="00DC64DD" w:rsidRDefault="002F5A37" w:rsidP="00DC64DD">
      <w:pPr>
        <w:jc w:val="both"/>
        <w:rPr>
          <w:b/>
          <w:sz w:val="28"/>
          <w:szCs w:val="28"/>
        </w:rPr>
      </w:pPr>
      <w:r w:rsidRPr="004A744E">
        <w:rPr>
          <w:bCs/>
        </w:rPr>
        <w:t>It is judged that certain tasks completed by the Offender Management Unit in prisons, as delivered prior to COVID-19,</w:t>
      </w:r>
      <w:r w:rsidR="007E4227">
        <w:rPr>
          <w:bCs/>
        </w:rPr>
        <w:t xml:space="preserve"> are</w:t>
      </w:r>
      <w:r w:rsidRPr="004A744E">
        <w:rPr>
          <w:bCs/>
        </w:rPr>
        <w:t xml:space="preserve"> not feasible at the current time. However, community staffing levels</w:t>
      </w:r>
      <w:r w:rsidR="003F73CD">
        <w:rPr>
          <w:bCs/>
        </w:rPr>
        <w:t xml:space="preserve"> and prison staffing levels</w:t>
      </w:r>
      <w:r w:rsidRPr="004A744E">
        <w:rPr>
          <w:bCs/>
        </w:rPr>
        <w:t xml:space="preserve"> are better than predicted and so we will </w:t>
      </w:r>
      <w:r w:rsidRPr="004A744E">
        <w:rPr>
          <w:rFonts w:eastAsia="Times New Roman"/>
          <w:bCs/>
          <w:iCs/>
        </w:rPr>
        <w:t>review the return of probation staff on an establishment by establishment basis to take account of the priorities at a local level both in the prison and in the community and be agreed by the Divisional Implementation Board.</w:t>
      </w:r>
      <w:r w:rsidRPr="004A744E">
        <w:rPr>
          <w:rFonts w:eastAsia="Times New Roman"/>
        </w:rPr>
        <w:t xml:space="preserve"> </w:t>
      </w:r>
      <w:r w:rsidR="00040DDA">
        <w:rPr>
          <w:bCs/>
        </w:rPr>
        <w:t>This</w:t>
      </w:r>
      <w:r w:rsidRPr="004A744E">
        <w:rPr>
          <w:bCs/>
        </w:rPr>
        <w:t xml:space="preserve"> Excep</w:t>
      </w:r>
      <w:r w:rsidR="00040DDA">
        <w:rPr>
          <w:bCs/>
        </w:rPr>
        <w:t>tional Delivery Model (EDM)</w:t>
      </w:r>
      <w:r w:rsidRPr="004A744E">
        <w:rPr>
          <w:bCs/>
        </w:rPr>
        <w:t xml:space="preserve"> provide</w:t>
      </w:r>
      <w:r w:rsidR="00040DDA">
        <w:rPr>
          <w:bCs/>
        </w:rPr>
        <w:t>s</w:t>
      </w:r>
      <w:r w:rsidRPr="004A744E">
        <w:rPr>
          <w:bCs/>
        </w:rPr>
        <w:t xml:space="preserve"> a framework for how offender management in prisons can be delivered safely and in adherence with PHE guidance on social distancing. This EDM is part of our medium-term recovery plan.</w:t>
      </w:r>
    </w:p>
    <w:p w14:paraId="6C7942C3" w14:textId="77777777" w:rsidR="0086412B" w:rsidRPr="0086412B" w:rsidRDefault="0086412B" w:rsidP="0086412B">
      <w:r>
        <w:t xml:space="preserve">This EDM sets a framework of principles within which establishments must operate. The appropriate extent of Offender Management that can safely be delivered is for local determination, adhering </w:t>
      </w:r>
      <w:proofErr w:type="gramStart"/>
      <w:r>
        <w:t>at all times</w:t>
      </w:r>
      <w:proofErr w:type="gramEnd"/>
      <w:r>
        <w:t xml:space="preserve"> to these principles. This should be facilitated via dialogue between the Governor and Heads of Offender Management Service and Delivery (HOMD and HOMS). </w:t>
      </w:r>
      <w:r w:rsidRPr="0042424B">
        <w:rPr>
          <w:bCs/>
        </w:rPr>
        <w:t xml:space="preserve">Local </w:t>
      </w:r>
      <w:r w:rsidR="00DC64DD" w:rsidRPr="0042424B">
        <w:rPr>
          <w:bCs/>
        </w:rPr>
        <w:t xml:space="preserve">resourcing </w:t>
      </w:r>
      <w:r w:rsidRPr="0042424B">
        <w:rPr>
          <w:bCs/>
        </w:rPr>
        <w:t>plans should be submitted and agreed by the Divisional Implementation Boards.</w:t>
      </w:r>
      <w:r w:rsidR="00DC64DD" w:rsidRPr="0042424B">
        <w:rPr>
          <w:bCs/>
        </w:rPr>
        <w:t xml:space="preserve"> The establishments</w:t>
      </w:r>
      <w:r w:rsidR="006C1503" w:rsidRPr="0042424B">
        <w:rPr>
          <w:bCs/>
        </w:rPr>
        <w:t xml:space="preserve"> RRMP plan</w:t>
      </w:r>
      <w:r w:rsidR="00DC64DD" w:rsidRPr="0042424B">
        <w:rPr>
          <w:bCs/>
        </w:rPr>
        <w:t xml:space="preserve"> should be sub</w:t>
      </w:r>
      <w:r w:rsidR="006C1503" w:rsidRPr="0042424B">
        <w:rPr>
          <w:bCs/>
        </w:rPr>
        <w:t>mitted and signed-off by the PGD and Prison Gold. The section appertaining to the OMU</w:t>
      </w:r>
      <w:r w:rsidR="00871CBE" w:rsidRPr="0042424B">
        <w:rPr>
          <w:bCs/>
        </w:rPr>
        <w:t xml:space="preserve"> should</w:t>
      </w:r>
      <w:r w:rsidR="002328EB" w:rsidRPr="0042424B">
        <w:rPr>
          <w:bCs/>
        </w:rPr>
        <w:t xml:space="preserve"> also</w:t>
      </w:r>
      <w:r w:rsidR="00871CBE" w:rsidRPr="0042424B">
        <w:rPr>
          <w:bCs/>
        </w:rPr>
        <w:t xml:space="preserve"> be</w:t>
      </w:r>
      <w:r w:rsidR="00DC64DD" w:rsidRPr="0042424B">
        <w:rPr>
          <w:bCs/>
        </w:rPr>
        <w:t xml:space="preserve"> submitted to probation Gold for sign-off</w:t>
      </w:r>
      <w:r w:rsidR="006C1503" w:rsidRPr="0042424B">
        <w:rPr>
          <w:bCs/>
        </w:rPr>
        <w:t xml:space="preserve"> via the DIB</w:t>
      </w:r>
      <w:r w:rsidR="00DC64DD" w:rsidRPr="0042424B">
        <w:rPr>
          <w:bCs/>
        </w:rPr>
        <w:t>.</w:t>
      </w:r>
      <w:r w:rsidR="00DC64DD">
        <w:rPr>
          <w:bCs/>
        </w:rPr>
        <w:t xml:space="preserve"> </w:t>
      </w:r>
    </w:p>
    <w:p w14:paraId="0303117B" w14:textId="77777777" w:rsidR="008115A2" w:rsidRDefault="008115A2" w:rsidP="008115A2">
      <w:pPr>
        <w:jc w:val="both"/>
        <w:rPr>
          <w:b/>
          <w:u w:val="single"/>
        </w:rPr>
      </w:pPr>
      <w:r w:rsidRPr="006B4F92">
        <w:rPr>
          <w:b/>
          <w:u w:val="single"/>
        </w:rPr>
        <w:t>Importance of Offender management and associated risks</w:t>
      </w:r>
    </w:p>
    <w:p w14:paraId="27C24F9C" w14:textId="77777777" w:rsidR="008115A2" w:rsidRDefault="008115A2" w:rsidP="008115A2">
      <w:pPr>
        <w:spacing w:before="180" w:after="0" w:line="216" w:lineRule="auto"/>
        <w:jc w:val="both"/>
      </w:pPr>
      <w:r w:rsidRPr="00940116">
        <w:rPr>
          <w:rFonts w:eastAsia="Arial" w:cstheme="minorHAnsi"/>
          <w:bCs/>
          <w:iCs/>
          <w:color w:val="000000"/>
          <w:lang w:eastAsia="en-GB"/>
        </w:rPr>
        <w:t xml:space="preserve">Everyone in prison should have the opportunity to transform their lives by using their time in custody constructively to reduce their risk of harm and reoffending; to plan their resettlement; and to improve their prospects of becoming safe, law-abiding </w:t>
      </w:r>
      <w:r>
        <w:rPr>
          <w:rFonts w:eastAsia="Arial" w:cstheme="minorHAnsi"/>
          <w:bCs/>
          <w:iCs/>
          <w:color w:val="000000"/>
          <w:lang w:eastAsia="en-GB"/>
        </w:rPr>
        <w:t xml:space="preserve">and valuable member of society. </w:t>
      </w:r>
      <w:r>
        <w:t>Offender Management in Custody (</w:t>
      </w:r>
      <w:proofErr w:type="spellStart"/>
      <w:r>
        <w:t>OMiC</w:t>
      </w:r>
      <w:proofErr w:type="spellEnd"/>
      <w:r>
        <w:t xml:space="preserve">) is at the heart of much of what we do, supporting the critical transition from custody to community. </w:t>
      </w:r>
    </w:p>
    <w:p w14:paraId="6474E8CA" w14:textId="77777777" w:rsidR="008115A2" w:rsidRPr="00196403" w:rsidRDefault="008115A2" w:rsidP="008115A2">
      <w:pPr>
        <w:spacing w:before="180" w:after="0" w:line="216" w:lineRule="auto"/>
        <w:jc w:val="both"/>
      </w:pPr>
      <w:r w:rsidRPr="00C22F9D">
        <w:rPr>
          <w:rFonts w:eastAsiaTheme="minorEastAsia" w:cstheme="minorHAnsi"/>
          <w:color w:val="000000" w:themeColor="text1"/>
          <w:kern w:val="24"/>
        </w:rPr>
        <w:t xml:space="preserve">We know relationships can make a huge difference and we want prisoners to have trusting relationships with staff to </w:t>
      </w:r>
      <w:r>
        <w:rPr>
          <w:rFonts w:eastAsiaTheme="minorEastAsia" w:cstheme="minorHAnsi"/>
          <w:color w:val="000000" w:themeColor="text1"/>
          <w:kern w:val="24"/>
        </w:rPr>
        <w:t xml:space="preserve">support them through their sentence and </w:t>
      </w:r>
      <w:r w:rsidRPr="00C22F9D">
        <w:rPr>
          <w:rFonts w:eastAsiaTheme="minorEastAsia" w:cstheme="minorHAnsi"/>
          <w:color w:val="000000" w:themeColor="text1"/>
          <w:kern w:val="24"/>
        </w:rPr>
        <w:t xml:space="preserve">help them take responsibility for their own rehabilitation. This EDM will </w:t>
      </w:r>
      <w:r w:rsidRPr="00C22F9D">
        <w:rPr>
          <w:rFonts w:cstheme="minorHAnsi"/>
        </w:rPr>
        <w:t>focus resources where they are needed most, by providi</w:t>
      </w:r>
      <w:r>
        <w:rPr>
          <w:rFonts w:cstheme="minorHAnsi"/>
        </w:rPr>
        <w:t>ng support and supervision</w:t>
      </w:r>
      <w:r w:rsidRPr="00C22F9D">
        <w:rPr>
          <w:rFonts w:cstheme="minorHAnsi"/>
        </w:rPr>
        <w:t xml:space="preserve"> for the highest priority individuals</w:t>
      </w:r>
      <w:r>
        <w:rPr>
          <w:rFonts w:cstheme="minorHAnsi"/>
        </w:rPr>
        <w:t xml:space="preserve"> or at crucial points of an individual’s</w:t>
      </w:r>
      <w:r w:rsidRPr="00C22F9D">
        <w:rPr>
          <w:rFonts w:cstheme="minorHAnsi"/>
        </w:rPr>
        <w:t xml:space="preserve"> sentence</w:t>
      </w:r>
      <w:r>
        <w:rPr>
          <w:rFonts w:cstheme="minorHAnsi"/>
        </w:rPr>
        <w:t>. Prisons should enable POMs and key workers to work in a collaborative way to ensure that individuals are supported and that information is shared.</w:t>
      </w:r>
    </w:p>
    <w:p w14:paraId="74138B69" w14:textId="77777777" w:rsidR="008115A2" w:rsidRPr="009052E7" w:rsidRDefault="008115A2" w:rsidP="008115A2">
      <w:pPr>
        <w:spacing w:before="180" w:after="0" w:line="216" w:lineRule="auto"/>
        <w:jc w:val="both"/>
        <w:rPr>
          <w:b/>
        </w:rPr>
      </w:pPr>
      <w:r w:rsidRPr="009052E7">
        <w:rPr>
          <w:b/>
        </w:rPr>
        <w:t xml:space="preserve">The risks associated with not carrying out the tasks indented within this EDM and Annex A include: </w:t>
      </w:r>
    </w:p>
    <w:p w14:paraId="2CD828EA" w14:textId="77777777" w:rsidR="008115A2" w:rsidRPr="009052E7" w:rsidRDefault="008115A2" w:rsidP="008115A2">
      <w:pPr>
        <w:pStyle w:val="ListParagraph"/>
        <w:numPr>
          <w:ilvl w:val="0"/>
          <w:numId w:val="29"/>
        </w:numPr>
        <w:spacing w:before="180" w:after="0" w:line="216" w:lineRule="auto"/>
        <w:jc w:val="both"/>
        <w:rPr>
          <w:b/>
        </w:rPr>
      </w:pPr>
      <w:r>
        <w:rPr>
          <w:b/>
        </w:rPr>
        <w:t>A weakening</w:t>
      </w:r>
      <w:r w:rsidRPr="009052E7">
        <w:rPr>
          <w:b/>
        </w:rPr>
        <w:t xml:space="preserve"> in the effective management of public protection arrangements leading to increased risk of harm in the community</w:t>
      </w:r>
    </w:p>
    <w:p w14:paraId="7BA676E4" w14:textId="77777777" w:rsidR="008115A2" w:rsidRPr="009052E7" w:rsidRDefault="008115A2" w:rsidP="008115A2">
      <w:pPr>
        <w:pStyle w:val="ListParagraph"/>
        <w:spacing w:before="180" w:after="0" w:line="216" w:lineRule="auto"/>
        <w:jc w:val="both"/>
        <w:rPr>
          <w:b/>
        </w:rPr>
      </w:pPr>
    </w:p>
    <w:p w14:paraId="3C2BF985" w14:textId="77777777" w:rsidR="008115A2" w:rsidRPr="009052E7" w:rsidRDefault="008115A2" w:rsidP="008115A2">
      <w:pPr>
        <w:pStyle w:val="ListParagraph"/>
        <w:numPr>
          <w:ilvl w:val="0"/>
          <w:numId w:val="29"/>
        </w:numPr>
        <w:spacing w:before="180" w:after="0" w:line="216" w:lineRule="auto"/>
        <w:jc w:val="both"/>
        <w:rPr>
          <w:b/>
        </w:rPr>
      </w:pPr>
      <w:r w:rsidRPr="009052E7">
        <w:rPr>
          <w:b/>
        </w:rPr>
        <w:t>lack of or limited progression for prisoners</w:t>
      </w:r>
      <w:r>
        <w:rPr>
          <w:b/>
        </w:rPr>
        <w:t xml:space="preserve"> through their sentence</w:t>
      </w:r>
    </w:p>
    <w:p w14:paraId="7E104458" w14:textId="77777777" w:rsidR="008115A2" w:rsidRPr="009052E7" w:rsidRDefault="008115A2" w:rsidP="008115A2">
      <w:pPr>
        <w:pStyle w:val="ListParagraph"/>
        <w:jc w:val="both"/>
        <w:rPr>
          <w:b/>
        </w:rPr>
      </w:pPr>
    </w:p>
    <w:p w14:paraId="511AECC9" w14:textId="77777777" w:rsidR="008115A2" w:rsidRPr="009052E7" w:rsidRDefault="008115A2" w:rsidP="008115A2">
      <w:pPr>
        <w:pStyle w:val="ListParagraph"/>
        <w:numPr>
          <w:ilvl w:val="0"/>
          <w:numId w:val="29"/>
        </w:numPr>
        <w:spacing w:before="180" w:after="0" w:line="216" w:lineRule="auto"/>
        <w:jc w:val="both"/>
        <w:rPr>
          <w:b/>
        </w:rPr>
      </w:pPr>
      <w:r>
        <w:rPr>
          <w:b/>
        </w:rPr>
        <w:t>Impact on s</w:t>
      </w:r>
      <w:r w:rsidRPr="009052E7">
        <w:rPr>
          <w:b/>
        </w:rPr>
        <w:t>afety and unrest in prisons</w:t>
      </w:r>
    </w:p>
    <w:p w14:paraId="10FACEF0" w14:textId="77777777" w:rsidR="008115A2" w:rsidRPr="009052E7" w:rsidRDefault="008115A2" w:rsidP="008115A2">
      <w:pPr>
        <w:pStyle w:val="ListParagraph"/>
        <w:spacing w:before="180" w:after="0" w:line="216" w:lineRule="auto"/>
        <w:jc w:val="both"/>
        <w:rPr>
          <w:b/>
        </w:rPr>
      </w:pPr>
    </w:p>
    <w:p w14:paraId="00E18098" w14:textId="77777777" w:rsidR="008115A2" w:rsidRPr="009052E7" w:rsidRDefault="008115A2" w:rsidP="008115A2">
      <w:pPr>
        <w:pStyle w:val="ListParagraph"/>
        <w:numPr>
          <w:ilvl w:val="0"/>
          <w:numId w:val="29"/>
        </w:numPr>
        <w:spacing w:before="180" w:after="0" w:line="216" w:lineRule="auto"/>
        <w:jc w:val="both"/>
        <w:rPr>
          <w:rFonts w:eastAsia="Arial" w:cstheme="minorHAnsi"/>
          <w:b/>
          <w:bCs/>
          <w:iCs/>
          <w:color w:val="000000"/>
          <w:lang w:eastAsia="en-GB"/>
        </w:rPr>
      </w:pPr>
      <w:r>
        <w:rPr>
          <w:b/>
        </w:rPr>
        <w:t xml:space="preserve">Reduced access </w:t>
      </w:r>
      <w:r w:rsidRPr="009052E7">
        <w:rPr>
          <w:b/>
        </w:rPr>
        <w:t>to interventions such as accredited programmes or offender personality disorder pathway. This could negatively impact on an individual’s opportunity to rehabilitate and reduce their risk of reoffending and harm.</w:t>
      </w:r>
    </w:p>
    <w:p w14:paraId="660EEB8F" w14:textId="77777777" w:rsidR="008115A2" w:rsidRDefault="008115A2" w:rsidP="008115A2">
      <w:pPr>
        <w:jc w:val="both"/>
        <w:rPr>
          <w:b/>
          <w:u w:val="single"/>
        </w:rPr>
      </w:pPr>
    </w:p>
    <w:p w14:paraId="656FAA75" w14:textId="0C931D4F" w:rsidR="008115A2" w:rsidRPr="008324B6" w:rsidRDefault="008115A2" w:rsidP="008115A2">
      <w:pPr>
        <w:jc w:val="both"/>
        <w:rPr>
          <w:b/>
          <w:u w:val="single"/>
        </w:rPr>
      </w:pPr>
      <w:r w:rsidRPr="008324B6">
        <w:rPr>
          <w:b/>
          <w:u w:val="single"/>
        </w:rPr>
        <w:t xml:space="preserve">Delivery of </w:t>
      </w:r>
      <w:r>
        <w:rPr>
          <w:b/>
          <w:u w:val="single"/>
        </w:rPr>
        <w:t xml:space="preserve">tasks completed by the </w:t>
      </w:r>
      <w:r w:rsidRPr="008324B6">
        <w:rPr>
          <w:b/>
          <w:u w:val="single"/>
        </w:rPr>
        <w:t>Offender Management</w:t>
      </w:r>
      <w:r>
        <w:rPr>
          <w:b/>
          <w:u w:val="single"/>
        </w:rPr>
        <w:t xml:space="preserve"> Unit</w:t>
      </w:r>
      <w:r w:rsidRPr="008324B6">
        <w:rPr>
          <w:b/>
          <w:u w:val="single"/>
        </w:rPr>
        <w:t xml:space="preserve"> </w:t>
      </w:r>
      <w:r>
        <w:rPr>
          <w:b/>
          <w:u w:val="single"/>
        </w:rPr>
        <w:t>under</w:t>
      </w:r>
      <w:r w:rsidR="00F41807">
        <w:rPr>
          <w:b/>
          <w:u w:val="single"/>
        </w:rPr>
        <w:t xml:space="preserve"> stages</w:t>
      </w:r>
      <w:r>
        <w:rPr>
          <w:b/>
          <w:u w:val="single"/>
        </w:rPr>
        <w:t xml:space="preserve"> 4, 3,</w:t>
      </w:r>
      <w:r w:rsidRPr="008324B6">
        <w:rPr>
          <w:b/>
          <w:u w:val="single"/>
        </w:rPr>
        <w:t xml:space="preserve"> 2</w:t>
      </w:r>
      <w:r>
        <w:rPr>
          <w:b/>
          <w:u w:val="single"/>
        </w:rPr>
        <w:t xml:space="preserve"> and 1</w:t>
      </w:r>
      <w:r w:rsidRPr="008324B6">
        <w:rPr>
          <w:b/>
          <w:u w:val="single"/>
        </w:rPr>
        <w:t>.</w:t>
      </w:r>
    </w:p>
    <w:p w14:paraId="07EB4A2F" w14:textId="38CB9B58" w:rsidR="008115A2" w:rsidRDefault="00F41807" w:rsidP="008115A2">
      <w:pPr>
        <w:jc w:val="both"/>
      </w:pPr>
      <w:r>
        <w:t>Under Red Regime (Stage</w:t>
      </w:r>
      <w:r w:rsidR="008115A2">
        <w:t xml:space="preserve"> 4) </w:t>
      </w:r>
      <w:r w:rsidR="008115A2" w:rsidRPr="006B057C">
        <w:rPr>
          <w:b/>
        </w:rPr>
        <w:t>Lockdown</w:t>
      </w:r>
      <w:r w:rsidR="008115A2">
        <w:rPr>
          <w:b/>
        </w:rPr>
        <w:t>,</w:t>
      </w:r>
      <w:r w:rsidR="008115A2">
        <w:t xml:space="preserve"> in addition to administration functions such as sentence calculation and the drawing up of the licence, the following tasks in Offender Management Units in prisons are currently being delivered:</w:t>
      </w:r>
    </w:p>
    <w:p w14:paraId="6889B454" w14:textId="77777777" w:rsidR="00DC64DD" w:rsidRDefault="00DC64DD" w:rsidP="008115A2">
      <w:pPr>
        <w:jc w:val="both"/>
        <w:rPr>
          <w:b/>
        </w:rPr>
      </w:pPr>
    </w:p>
    <w:p w14:paraId="05D7F0C2" w14:textId="77777777" w:rsidR="008115A2" w:rsidRDefault="008115A2" w:rsidP="008115A2">
      <w:pPr>
        <w:jc w:val="both"/>
        <w:rPr>
          <w:b/>
        </w:rPr>
      </w:pPr>
      <w:r w:rsidRPr="00353C63">
        <w:rPr>
          <w:b/>
        </w:rPr>
        <w:lastRenderedPageBreak/>
        <w:t>Public Protection</w:t>
      </w:r>
    </w:p>
    <w:p w14:paraId="483BE7B7" w14:textId="77777777" w:rsidR="008115A2" w:rsidRPr="008324B6" w:rsidRDefault="008115A2" w:rsidP="008115A2">
      <w:pPr>
        <w:pStyle w:val="ListParagraph"/>
        <w:numPr>
          <w:ilvl w:val="0"/>
          <w:numId w:val="30"/>
        </w:numPr>
        <w:jc w:val="both"/>
      </w:pPr>
      <w:r w:rsidRPr="008324B6">
        <w:t>Allocation of Prison Offender Managers</w:t>
      </w:r>
    </w:p>
    <w:p w14:paraId="3D353BE3" w14:textId="77777777" w:rsidR="008115A2" w:rsidRPr="008324B6" w:rsidRDefault="008115A2" w:rsidP="008115A2">
      <w:pPr>
        <w:pStyle w:val="ListParagraph"/>
        <w:numPr>
          <w:ilvl w:val="0"/>
          <w:numId w:val="30"/>
        </w:numPr>
        <w:jc w:val="both"/>
      </w:pPr>
      <w:r w:rsidRPr="008324B6">
        <w:t xml:space="preserve">Categorisation </w:t>
      </w:r>
    </w:p>
    <w:p w14:paraId="3E47363A" w14:textId="77777777" w:rsidR="008115A2" w:rsidRPr="008324B6" w:rsidRDefault="008115A2" w:rsidP="008115A2">
      <w:pPr>
        <w:pStyle w:val="ListParagraph"/>
        <w:numPr>
          <w:ilvl w:val="0"/>
          <w:numId w:val="30"/>
        </w:numPr>
        <w:jc w:val="both"/>
      </w:pPr>
      <w:r w:rsidRPr="008324B6">
        <w:t>Public Protection Requests</w:t>
      </w:r>
    </w:p>
    <w:p w14:paraId="4CF822D7" w14:textId="77777777" w:rsidR="008115A2" w:rsidRPr="008324B6" w:rsidRDefault="008115A2" w:rsidP="008115A2">
      <w:pPr>
        <w:pStyle w:val="ListParagraph"/>
        <w:numPr>
          <w:ilvl w:val="0"/>
          <w:numId w:val="30"/>
        </w:numPr>
        <w:jc w:val="both"/>
      </w:pPr>
      <w:r w:rsidRPr="008324B6">
        <w:t>Victim Liaison Officer and Community Offender Manager contact</w:t>
      </w:r>
    </w:p>
    <w:p w14:paraId="665D6ECA" w14:textId="77777777" w:rsidR="008115A2" w:rsidRPr="008324B6" w:rsidRDefault="008115A2" w:rsidP="008115A2">
      <w:pPr>
        <w:pStyle w:val="ListParagraph"/>
        <w:numPr>
          <w:ilvl w:val="0"/>
          <w:numId w:val="30"/>
        </w:numPr>
        <w:jc w:val="both"/>
      </w:pPr>
      <w:r w:rsidRPr="008324B6">
        <w:t>Interdepartmental Risk Management Team meetings</w:t>
      </w:r>
    </w:p>
    <w:p w14:paraId="29702FAC" w14:textId="495A0D19" w:rsidR="008115A2" w:rsidRPr="008324B6" w:rsidRDefault="008115A2" w:rsidP="008115A2">
      <w:pPr>
        <w:pStyle w:val="ListParagraph"/>
        <w:numPr>
          <w:ilvl w:val="0"/>
          <w:numId w:val="30"/>
        </w:numPr>
        <w:jc w:val="both"/>
      </w:pPr>
      <w:r w:rsidRPr="008324B6">
        <w:t xml:space="preserve">Parole </w:t>
      </w:r>
      <w:r w:rsidR="00C065B0">
        <w:t xml:space="preserve">related reports and </w:t>
      </w:r>
      <w:r w:rsidR="00935344">
        <w:t>remote hearings</w:t>
      </w:r>
    </w:p>
    <w:p w14:paraId="4FE1AFBA" w14:textId="77777777" w:rsidR="008115A2" w:rsidRPr="008324B6" w:rsidRDefault="008115A2" w:rsidP="008115A2">
      <w:pPr>
        <w:pStyle w:val="ListParagraph"/>
        <w:numPr>
          <w:ilvl w:val="0"/>
          <w:numId w:val="30"/>
        </w:numPr>
        <w:jc w:val="both"/>
      </w:pPr>
      <w:r w:rsidRPr="008324B6">
        <w:t>Release on Temporary Licence and Home Detention Curfew</w:t>
      </w:r>
    </w:p>
    <w:p w14:paraId="201F4F09" w14:textId="77777777" w:rsidR="008115A2" w:rsidRPr="008324B6" w:rsidRDefault="008115A2" w:rsidP="008115A2">
      <w:pPr>
        <w:pStyle w:val="ListParagraph"/>
        <w:numPr>
          <w:ilvl w:val="0"/>
          <w:numId w:val="30"/>
        </w:numPr>
        <w:jc w:val="both"/>
        <w:rPr>
          <w:b/>
        </w:rPr>
      </w:pPr>
      <w:r w:rsidRPr="008324B6">
        <w:t>Multi-Agency Public Protection Arrangements</w:t>
      </w:r>
    </w:p>
    <w:p w14:paraId="6C27C54A" w14:textId="77777777" w:rsidR="008115A2" w:rsidRPr="008324B6" w:rsidRDefault="008115A2" w:rsidP="008115A2">
      <w:pPr>
        <w:jc w:val="both"/>
        <w:rPr>
          <w:b/>
        </w:rPr>
      </w:pPr>
      <w:r w:rsidRPr="008324B6">
        <w:rPr>
          <w:b/>
        </w:rPr>
        <w:t>OASys</w:t>
      </w:r>
    </w:p>
    <w:p w14:paraId="4CC88A7D" w14:textId="77777777" w:rsidR="008115A2" w:rsidRPr="008324B6" w:rsidRDefault="008115A2" w:rsidP="008115A2">
      <w:pPr>
        <w:pStyle w:val="ListParagraph"/>
        <w:numPr>
          <w:ilvl w:val="0"/>
          <w:numId w:val="31"/>
        </w:numPr>
        <w:jc w:val="both"/>
      </w:pPr>
      <w:r w:rsidRPr="008324B6">
        <w:t xml:space="preserve">Pre-release assessments considered a priority with others based on risk of serious harm and stage of sentence. </w:t>
      </w:r>
    </w:p>
    <w:p w14:paraId="4475B8BF" w14:textId="77777777" w:rsidR="008115A2" w:rsidRPr="008324B6" w:rsidRDefault="008115A2" w:rsidP="008115A2">
      <w:pPr>
        <w:jc w:val="both"/>
        <w:rPr>
          <w:b/>
        </w:rPr>
      </w:pPr>
      <w:r w:rsidRPr="008324B6">
        <w:rPr>
          <w:b/>
        </w:rPr>
        <w:t>Progression</w:t>
      </w:r>
    </w:p>
    <w:p w14:paraId="733D6155" w14:textId="77777777" w:rsidR="008115A2" w:rsidRPr="008324B6" w:rsidRDefault="008115A2" w:rsidP="008115A2">
      <w:pPr>
        <w:pStyle w:val="ListParagraph"/>
        <w:numPr>
          <w:ilvl w:val="0"/>
          <w:numId w:val="31"/>
        </w:numPr>
        <w:jc w:val="both"/>
      </w:pPr>
      <w:proofErr w:type="spellStart"/>
      <w:r w:rsidRPr="008324B6">
        <w:t>Recategorisation</w:t>
      </w:r>
      <w:proofErr w:type="spellEnd"/>
    </w:p>
    <w:p w14:paraId="14CBF3F1" w14:textId="77777777" w:rsidR="008115A2" w:rsidRPr="008324B6" w:rsidRDefault="008115A2" w:rsidP="008115A2">
      <w:pPr>
        <w:pStyle w:val="ListParagraph"/>
        <w:numPr>
          <w:ilvl w:val="0"/>
          <w:numId w:val="31"/>
        </w:numPr>
        <w:jc w:val="both"/>
      </w:pPr>
      <w:r w:rsidRPr="008324B6">
        <w:t>Handover to the community</w:t>
      </w:r>
    </w:p>
    <w:p w14:paraId="6F5A13FA" w14:textId="77777777" w:rsidR="00B30156" w:rsidRDefault="00B30156" w:rsidP="005C7ADF">
      <w:pPr>
        <w:spacing w:after="0" w:line="240" w:lineRule="auto"/>
        <w:jc w:val="both"/>
        <w:rPr>
          <w:rFonts w:cs="Arial"/>
        </w:rPr>
      </w:pPr>
    </w:p>
    <w:p w14:paraId="6DBD5D32" w14:textId="792FD4AD" w:rsidR="008115A2" w:rsidRPr="008115A2" w:rsidRDefault="008115A2" w:rsidP="008115A2">
      <w:pPr>
        <w:jc w:val="both"/>
      </w:pPr>
      <w:r w:rsidRPr="008324B6">
        <w:t xml:space="preserve">It is expected that under </w:t>
      </w:r>
      <w:r w:rsidR="00E51F6D">
        <w:rPr>
          <w:b/>
        </w:rPr>
        <w:t>Stage</w:t>
      </w:r>
      <w:r>
        <w:rPr>
          <w:b/>
        </w:rPr>
        <w:t xml:space="preserve"> 3, </w:t>
      </w:r>
      <w:r w:rsidRPr="008115A2">
        <w:rPr>
          <w:b/>
        </w:rPr>
        <w:t>2</w:t>
      </w:r>
      <w:r>
        <w:rPr>
          <w:b/>
        </w:rPr>
        <w:t xml:space="preserve"> and 1</w:t>
      </w:r>
      <w:r w:rsidRPr="008324B6">
        <w:t xml:space="preserve"> there will be the following changes to increase delivery of offender management within prisons</w:t>
      </w:r>
      <w:r>
        <w:t>.</w:t>
      </w:r>
    </w:p>
    <w:p w14:paraId="14AD3F47" w14:textId="0C5F4411" w:rsidR="008115A2" w:rsidRPr="008324B6" w:rsidRDefault="00E51F6D" w:rsidP="008115A2">
      <w:pPr>
        <w:jc w:val="both"/>
      </w:pPr>
      <w:r>
        <w:rPr>
          <w:b/>
          <w:bCs/>
          <w:lang w:eastAsia="en-GB"/>
        </w:rPr>
        <w:t>Stage</w:t>
      </w:r>
      <w:r w:rsidR="008115A2" w:rsidRPr="008324B6">
        <w:rPr>
          <w:b/>
          <w:bCs/>
          <w:lang w:eastAsia="en-GB"/>
        </w:rPr>
        <w:t xml:space="preserve"> 3 (Restrict) - High Level Descriptor</w:t>
      </w:r>
    </w:p>
    <w:p w14:paraId="556140DD" w14:textId="77777777" w:rsidR="008115A2" w:rsidRPr="008324B6" w:rsidRDefault="008115A2" w:rsidP="008115A2">
      <w:pPr>
        <w:pStyle w:val="ListParagraph"/>
        <w:numPr>
          <w:ilvl w:val="0"/>
          <w:numId w:val="32"/>
        </w:numPr>
        <w:spacing w:after="0" w:line="240" w:lineRule="auto"/>
        <w:jc w:val="both"/>
        <w:rPr>
          <w:color w:val="000000"/>
          <w:lang w:eastAsia="en-GB"/>
        </w:rPr>
      </w:pPr>
      <w:r w:rsidRPr="008324B6">
        <w:rPr>
          <w:color w:val="000000"/>
          <w:lang w:eastAsia="en-GB"/>
        </w:rPr>
        <w:t>Reintroduction of probation staff (staff in post pre-COVID)</w:t>
      </w:r>
      <w:r>
        <w:rPr>
          <w:color w:val="000000"/>
          <w:lang w:eastAsia="en-GB"/>
        </w:rPr>
        <w:t xml:space="preserve"> subject to availability</w:t>
      </w:r>
      <w:r w:rsidRPr="008324B6">
        <w:rPr>
          <w:color w:val="000000"/>
          <w:lang w:eastAsia="en-GB"/>
        </w:rPr>
        <w:t xml:space="preserve"> in prison settings, </w:t>
      </w:r>
      <w:bookmarkStart w:id="1" w:name="_Hlk41400725"/>
      <w:r>
        <w:rPr>
          <w:color w:val="000000"/>
          <w:lang w:eastAsia="en-GB"/>
        </w:rPr>
        <w:t xml:space="preserve">overseen by </w:t>
      </w:r>
      <w:r w:rsidRPr="008324B6">
        <w:rPr>
          <w:color w:val="000000"/>
          <w:lang w:eastAsia="en-GB"/>
        </w:rPr>
        <w:t>Divisional Implementation Boards (DIBs)</w:t>
      </w:r>
      <w:bookmarkEnd w:id="1"/>
      <w:r w:rsidRPr="008324B6">
        <w:rPr>
          <w:color w:val="000000"/>
          <w:lang w:eastAsia="en-GB"/>
        </w:rPr>
        <w:t>.</w:t>
      </w:r>
      <w:r>
        <w:rPr>
          <w:color w:val="000000"/>
          <w:lang w:eastAsia="en-GB"/>
        </w:rPr>
        <w:t xml:space="preserve"> </w:t>
      </w:r>
    </w:p>
    <w:p w14:paraId="0F022F5C" w14:textId="77777777" w:rsidR="008115A2" w:rsidRPr="008324B6" w:rsidRDefault="008115A2" w:rsidP="008115A2">
      <w:pPr>
        <w:pStyle w:val="ListParagraph"/>
        <w:numPr>
          <w:ilvl w:val="0"/>
          <w:numId w:val="32"/>
        </w:numPr>
        <w:spacing w:after="0" w:line="240" w:lineRule="auto"/>
        <w:jc w:val="both"/>
        <w:rPr>
          <w:color w:val="000000"/>
          <w:lang w:eastAsia="en-GB"/>
        </w:rPr>
      </w:pPr>
      <w:r w:rsidRPr="008324B6">
        <w:rPr>
          <w:color w:val="000000"/>
          <w:lang w:eastAsia="en-GB"/>
        </w:rPr>
        <w:t>Prison Band 4 staff returned to POM roles from other parts of the prison</w:t>
      </w:r>
      <w:r>
        <w:rPr>
          <w:color w:val="000000"/>
          <w:lang w:eastAsia="en-GB"/>
        </w:rPr>
        <w:t>, subject to local availability</w:t>
      </w:r>
      <w:r w:rsidRPr="008324B6">
        <w:rPr>
          <w:color w:val="000000"/>
          <w:lang w:eastAsia="en-GB"/>
        </w:rPr>
        <w:t>.</w:t>
      </w:r>
    </w:p>
    <w:p w14:paraId="5BB3D8CA" w14:textId="77777777" w:rsidR="008115A2" w:rsidRDefault="008115A2" w:rsidP="008115A2">
      <w:pPr>
        <w:pStyle w:val="ListParagraph"/>
        <w:numPr>
          <w:ilvl w:val="0"/>
          <w:numId w:val="32"/>
        </w:numPr>
        <w:spacing w:after="0" w:line="240" w:lineRule="auto"/>
        <w:jc w:val="both"/>
        <w:rPr>
          <w:color w:val="000000"/>
          <w:lang w:eastAsia="en-GB"/>
        </w:rPr>
      </w:pPr>
      <w:r w:rsidRPr="008324B6">
        <w:rPr>
          <w:color w:val="000000"/>
          <w:lang w:eastAsia="en-GB"/>
        </w:rPr>
        <w:t>Limited Key work sessions for high risk offenders (TACT and high risk of harm), whilst encouraging other groups to be considered through the key work EDM, take place on a 1-2-1 basis observing social distancing.</w:t>
      </w:r>
    </w:p>
    <w:p w14:paraId="1D90AC81" w14:textId="77777777" w:rsidR="008115A2" w:rsidRDefault="008115A2" w:rsidP="008115A2">
      <w:pPr>
        <w:pStyle w:val="ListParagraph"/>
        <w:numPr>
          <w:ilvl w:val="0"/>
          <w:numId w:val="32"/>
        </w:numPr>
        <w:spacing w:after="0" w:line="240" w:lineRule="auto"/>
        <w:jc w:val="both"/>
        <w:rPr>
          <w:color w:val="000000"/>
          <w:lang w:eastAsia="en-GB"/>
        </w:rPr>
      </w:pPr>
      <w:r>
        <w:rPr>
          <w:color w:val="000000"/>
          <w:lang w:eastAsia="en-GB"/>
        </w:rPr>
        <w:t>Limited support provided by POMs to key workers.</w:t>
      </w:r>
    </w:p>
    <w:p w14:paraId="523692A6" w14:textId="77777777" w:rsidR="008115A2" w:rsidRDefault="008115A2" w:rsidP="008115A2">
      <w:pPr>
        <w:pStyle w:val="ListParagraph"/>
        <w:numPr>
          <w:ilvl w:val="0"/>
          <w:numId w:val="32"/>
        </w:numPr>
        <w:spacing w:after="0" w:line="240" w:lineRule="auto"/>
        <w:jc w:val="both"/>
        <w:rPr>
          <w:color w:val="000000"/>
          <w:lang w:eastAsia="en-GB"/>
        </w:rPr>
      </w:pPr>
      <w:r>
        <w:rPr>
          <w:color w:val="000000"/>
          <w:lang w:eastAsia="en-GB"/>
        </w:rPr>
        <w:t>Reintroduction of limited one to one work with young adults.</w:t>
      </w:r>
    </w:p>
    <w:p w14:paraId="6F595A00" w14:textId="77777777" w:rsidR="00C46DA2" w:rsidRPr="00F96145" w:rsidRDefault="00C46DA2" w:rsidP="00C46DA2">
      <w:pPr>
        <w:pStyle w:val="ListParagraph"/>
        <w:numPr>
          <w:ilvl w:val="0"/>
          <w:numId w:val="32"/>
        </w:numPr>
        <w:spacing w:after="0" w:line="240" w:lineRule="auto"/>
        <w:jc w:val="both"/>
        <w:rPr>
          <w:color w:val="000000"/>
          <w:lang w:eastAsia="en-GB"/>
        </w:rPr>
      </w:pPr>
      <w:r w:rsidRPr="00F96145">
        <w:rPr>
          <w:color w:val="000000"/>
          <w:lang w:eastAsia="en-GB"/>
        </w:rPr>
        <w:t>Increased access to prisoners for Parole Board activity (</w:t>
      </w:r>
      <w:proofErr w:type="spellStart"/>
      <w:r w:rsidRPr="00F96145">
        <w:rPr>
          <w:color w:val="000000"/>
          <w:lang w:eastAsia="en-GB"/>
        </w:rPr>
        <w:t>eg</w:t>
      </w:r>
      <w:proofErr w:type="spellEnd"/>
      <w:r w:rsidRPr="00F96145">
        <w:rPr>
          <w:color w:val="000000"/>
          <w:lang w:eastAsia="en-GB"/>
        </w:rPr>
        <w:t xml:space="preserve"> psychology assessments)</w:t>
      </w:r>
    </w:p>
    <w:p w14:paraId="58C8B14C" w14:textId="77777777" w:rsidR="008115A2" w:rsidRPr="008324B6" w:rsidRDefault="008115A2" w:rsidP="008115A2">
      <w:pPr>
        <w:jc w:val="both"/>
        <w:rPr>
          <w:b/>
          <w:bCs/>
          <w:lang w:eastAsia="en-GB"/>
        </w:rPr>
      </w:pPr>
    </w:p>
    <w:p w14:paraId="2646A008" w14:textId="5FCBC467" w:rsidR="008115A2" w:rsidRPr="008324B6" w:rsidRDefault="00E51F6D" w:rsidP="008115A2">
      <w:pPr>
        <w:jc w:val="both"/>
      </w:pPr>
      <w:r>
        <w:rPr>
          <w:b/>
          <w:bCs/>
          <w:lang w:eastAsia="en-GB"/>
        </w:rPr>
        <w:t>Stage</w:t>
      </w:r>
      <w:r w:rsidR="008115A2" w:rsidRPr="008324B6">
        <w:rPr>
          <w:b/>
          <w:bCs/>
          <w:lang w:eastAsia="en-GB"/>
        </w:rPr>
        <w:t xml:space="preserve"> 2 (Reduce) – High Level Descriptor</w:t>
      </w:r>
    </w:p>
    <w:p w14:paraId="7E760A33" w14:textId="77777777" w:rsidR="008115A2" w:rsidRPr="008324B6" w:rsidRDefault="008115A2" w:rsidP="008115A2">
      <w:pPr>
        <w:pStyle w:val="ListParagraph"/>
        <w:numPr>
          <w:ilvl w:val="0"/>
          <w:numId w:val="32"/>
        </w:numPr>
        <w:spacing w:after="0" w:line="240" w:lineRule="auto"/>
        <w:jc w:val="both"/>
        <w:rPr>
          <w:color w:val="000000"/>
          <w:lang w:eastAsia="en-GB"/>
        </w:rPr>
      </w:pPr>
      <w:r w:rsidRPr="008324B6">
        <w:rPr>
          <w:color w:val="000000"/>
          <w:lang w:eastAsia="en-GB"/>
        </w:rPr>
        <w:t>All prison based probation staff (staff in post pre-COVID) have returned to wo</w:t>
      </w:r>
      <w:r>
        <w:rPr>
          <w:color w:val="000000"/>
          <w:lang w:eastAsia="en-GB"/>
        </w:rPr>
        <w:t>rk in prisons, overseen by Divisional</w:t>
      </w:r>
      <w:r w:rsidRPr="008324B6">
        <w:rPr>
          <w:color w:val="000000"/>
          <w:lang w:eastAsia="en-GB"/>
        </w:rPr>
        <w:t xml:space="preserve"> Implementation Boards (DIBs)</w:t>
      </w:r>
    </w:p>
    <w:p w14:paraId="117248AE" w14:textId="77777777" w:rsidR="008115A2" w:rsidRPr="008324B6" w:rsidRDefault="008115A2" w:rsidP="008115A2">
      <w:pPr>
        <w:pStyle w:val="ListParagraph"/>
        <w:numPr>
          <w:ilvl w:val="0"/>
          <w:numId w:val="32"/>
        </w:numPr>
        <w:spacing w:after="0" w:line="240" w:lineRule="auto"/>
        <w:jc w:val="both"/>
        <w:rPr>
          <w:color w:val="000000"/>
          <w:lang w:eastAsia="en-GB"/>
        </w:rPr>
      </w:pPr>
      <w:r w:rsidRPr="008324B6">
        <w:rPr>
          <w:color w:val="000000"/>
          <w:lang w:eastAsia="en-GB"/>
        </w:rPr>
        <w:t>All prison POMs back in post.</w:t>
      </w:r>
    </w:p>
    <w:p w14:paraId="685B0251" w14:textId="0F75C6C8" w:rsidR="008115A2" w:rsidRDefault="008115A2" w:rsidP="008115A2">
      <w:pPr>
        <w:pStyle w:val="ListParagraph"/>
        <w:numPr>
          <w:ilvl w:val="0"/>
          <w:numId w:val="32"/>
        </w:numPr>
        <w:spacing w:after="0" w:line="240" w:lineRule="auto"/>
        <w:jc w:val="both"/>
        <w:rPr>
          <w:color w:val="000000"/>
          <w:lang w:eastAsia="en-GB"/>
        </w:rPr>
      </w:pPr>
      <w:r w:rsidRPr="008324B6">
        <w:rPr>
          <w:color w:val="000000"/>
          <w:lang w:eastAsia="en-GB"/>
        </w:rPr>
        <w:t xml:space="preserve">Greater numbers of </w:t>
      </w:r>
      <w:r w:rsidR="0052636F">
        <w:rPr>
          <w:color w:val="000000"/>
          <w:lang w:eastAsia="en-GB"/>
        </w:rPr>
        <w:t xml:space="preserve">face to face </w:t>
      </w:r>
      <w:r w:rsidRPr="008324B6">
        <w:rPr>
          <w:color w:val="000000"/>
          <w:lang w:eastAsia="en-GB"/>
        </w:rPr>
        <w:t>Parole Boards take place</w:t>
      </w:r>
      <w:r w:rsidR="003B449B">
        <w:rPr>
          <w:color w:val="000000"/>
          <w:lang w:eastAsia="en-GB"/>
        </w:rPr>
        <w:t xml:space="preserve"> within the prison</w:t>
      </w:r>
      <w:r w:rsidRPr="008324B6">
        <w:rPr>
          <w:color w:val="000000"/>
          <w:lang w:eastAsia="en-GB"/>
        </w:rPr>
        <w:t xml:space="preserve"> observing social </w:t>
      </w:r>
      <w:r w:rsidR="0042424B" w:rsidRPr="008324B6">
        <w:rPr>
          <w:color w:val="000000"/>
          <w:lang w:eastAsia="en-GB"/>
        </w:rPr>
        <w:t>distancing.</w:t>
      </w:r>
    </w:p>
    <w:p w14:paraId="0674C5BB" w14:textId="77777777" w:rsidR="008115A2" w:rsidRPr="007F0872" w:rsidRDefault="008115A2" w:rsidP="008115A2">
      <w:pPr>
        <w:pStyle w:val="ListParagraph"/>
        <w:numPr>
          <w:ilvl w:val="0"/>
          <w:numId w:val="32"/>
        </w:numPr>
        <w:spacing w:after="0" w:line="240" w:lineRule="auto"/>
        <w:jc w:val="both"/>
        <w:rPr>
          <w:color w:val="000000"/>
          <w:lang w:eastAsia="en-GB"/>
        </w:rPr>
      </w:pPr>
      <w:r w:rsidRPr="008324B6">
        <w:rPr>
          <w:color w:val="000000"/>
          <w:lang w:eastAsia="en-GB"/>
        </w:rPr>
        <w:t xml:space="preserve">Increased level of key work sessions outside of high risk cohorts take place on a 1-2-1 basis observing social distancing. </w:t>
      </w:r>
      <w:r w:rsidRPr="008324B6">
        <w:rPr>
          <w:rFonts w:cstheme="minorHAnsi"/>
        </w:rPr>
        <w:t xml:space="preserve">Engagement with keyworkers will be critical to supporting the most vulnerable prisoners as well as those who are approaching a key milestone in their sentence. </w:t>
      </w:r>
    </w:p>
    <w:p w14:paraId="48D2446A" w14:textId="77777777" w:rsidR="008115A2" w:rsidRPr="007F0872" w:rsidRDefault="008115A2" w:rsidP="008115A2">
      <w:pPr>
        <w:pStyle w:val="ListParagraph"/>
        <w:numPr>
          <w:ilvl w:val="0"/>
          <w:numId w:val="32"/>
        </w:numPr>
        <w:spacing w:after="0" w:line="240" w:lineRule="auto"/>
        <w:jc w:val="both"/>
        <w:rPr>
          <w:color w:val="000000"/>
          <w:lang w:eastAsia="en-GB"/>
        </w:rPr>
      </w:pPr>
      <w:r>
        <w:rPr>
          <w:rFonts w:cstheme="minorHAnsi"/>
        </w:rPr>
        <w:t>Increased support provided by POMs to key workers.</w:t>
      </w:r>
    </w:p>
    <w:p w14:paraId="45977A2A" w14:textId="4B5B67C9" w:rsidR="008115A2" w:rsidRPr="0042424B" w:rsidRDefault="008115A2" w:rsidP="0042424B">
      <w:pPr>
        <w:spacing w:after="0" w:line="240" w:lineRule="auto"/>
        <w:jc w:val="both"/>
        <w:rPr>
          <w:color w:val="000000"/>
          <w:lang w:eastAsia="en-GB"/>
        </w:rPr>
      </w:pPr>
    </w:p>
    <w:p w14:paraId="5F366710" w14:textId="77777777" w:rsidR="008115A2" w:rsidRDefault="008115A2" w:rsidP="008115A2">
      <w:pPr>
        <w:pStyle w:val="ListParagraph"/>
        <w:spacing w:after="0" w:line="240" w:lineRule="auto"/>
        <w:jc w:val="both"/>
        <w:rPr>
          <w:color w:val="000000"/>
          <w:lang w:eastAsia="en-GB"/>
        </w:rPr>
      </w:pPr>
    </w:p>
    <w:p w14:paraId="509173EC" w14:textId="77777777" w:rsidR="00E7186B" w:rsidRPr="00561E2A" w:rsidRDefault="00E7186B" w:rsidP="008115A2">
      <w:pPr>
        <w:pStyle w:val="ListParagraph"/>
        <w:spacing w:after="0" w:line="240" w:lineRule="auto"/>
        <w:jc w:val="both"/>
        <w:rPr>
          <w:color w:val="000000"/>
          <w:lang w:eastAsia="en-GB"/>
        </w:rPr>
      </w:pPr>
    </w:p>
    <w:p w14:paraId="774FFFE6" w14:textId="0E5F0B0D" w:rsidR="008115A2" w:rsidRDefault="00E51F6D" w:rsidP="008115A2">
      <w:pPr>
        <w:spacing w:after="0" w:line="240" w:lineRule="auto"/>
        <w:jc w:val="both"/>
        <w:rPr>
          <w:b/>
          <w:color w:val="000000"/>
          <w:lang w:eastAsia="en-GB"/>
        </w:rPr>
      </w:pPr>
      <w:r>
        <w:rPr>
          <w:b/>
          <w:color w:val="000000"/>
          <w:lang w:eastAsia="en-GB"/>
        </w:rPr>
        <w:lastRenderedPageBreak/>
        <w:t>Stage</w:t>
      </w:r>
      <w:r w:rsidR="008115A2" w:rsidRPr="00561E2A">
        <w:rPr>
          <w:b/>
          <w:color w:val="000000"/>
          <w:lang w:eastAsia="en-GB"/>
        </w:rPr>
        <w:t xml:space="preserve"> 1 (Prepare) – High Level Descriptor</w:t>
      </w:r>
    </w:p>
    <w:p w14:paraId="53190BB2" w14:textId="77777777" w:rsidR="008115A2" w:rsidRDefault="008115A2" w:rsidP="008115A2">
      <w:pPr>
        <w:spacing w:after="0" w:line="240" w:lineRule="auto"/>
        <w:jc w:val="both"/>
        <w:rPr>
          <w:b/>
          <w:color w:val="000000"/>
          <w:lang w:eastAsia="en-GB"/>
        </w:rPr>
      </w:pPr>
    </w:p>
    <w:p w14:paraId="02E2904C" w14:textId="77777777" w:rsidR="008115A2" w:rsidRDefault="008115A2" w:rsidP="008115A2">
      <w:pPr>
        <w:pStyle w:val="ListParagraph"/>
        <w:numPr>
          <w:ilvl w:val="0"/>
          <w:numId w:val="34"/>
        </w:numPr>
        <w:spacing w:after="0" w:line="240" w:lineRule="auto"/>
        <w:jc w:val="both"/>
        <w:rPr>
          <w:color w:val="000000"/>
          <w:lang w:eastAsia="en-GB"/>
        </w:rPr>
      </w:pPr>
      <w:r>
        <w:rPr>
          <w:color w:val="000000"/>
          <w:lang w:eastAsia="en-GB"/>
        </w:rPr>
        <w:t>At this stage compartmentalisation is no longer required but ongoing screening, testing and monitoring continues to rapidly detect new infections.</w:t>
      </w:r>
    </w:p>
    <w:p w14:paraId="48C664E9" w14:textId="77777777" w:rsidR="008115A2" w:rsidRDefault="008115A2" w:rsidP="008115A2">
      <w:pPr>
        <w:pStyle w:val="ListParagraph"/>
        <w:numPr>
          <w:ilvl w:val="0"/>
          <w:numId w:val="34"/>
        </w:numPr>
        <w:spacing w:after="0" w:line="240" w:lineRule="auto"/>
        <w:jc w:val="both"/>
        <w:rPr>
          <w:color w:val="000000"/>
          <w:lang w:eastAsia="en-GB"/>
        </w:rPr>
      </w:pPr>
      <w:r>
        <w:rPr>
          <w:color w:val="000000"/>
          <w:lang w:eastAsia="en-GB"/>
        </w:rPr>
        <w:t>Regimes operating without the requirement for social distancing or PPE use.</w:t>
      </w:r>
    </w:p>
    <w:p w14:paraId="7E1A2C6A" w14:textId="77777777" w:rsidR="008115A2" w:rsidRPr="00561E2A" w:rsidRDefault="008115A2" w:rsidP="008115A2">
      <w:pPr>
        <w:pStyle w:val="ListParagraph"/>
        <w:numPr>
          <w:ilvl w:val="0"/>
          <w:numId w:val="34"/>
        </w:numPr>
        <w:spacing w:after="0" w:line="240" w:lineRule="auto"/>
        <w:jc w:val="both"/>
        <w:rPr>
          <w:color w:val="000000"/>
          <w:lang w:eastAsia="en-GB"/>
        </w:rPr>
      </w:pPr>
      <w:r>
        <w:rPr>
          <w:color w:val="000000"/>
          <w:lang w:eastAsia="en-GB"/>
        </w:rPr>
        <w:t>Staffing levels near target and sufficient for normal regime delivery including full offender management processes.</w:t>
      </w:r>
    </w:p>
    <w:p w14:paraId="4D26D352" w14:textId="77777777" w:rsidR="008115A2" w:rsidRPr="008324B6" w:rsidRDefault="008115A2" w:rsidP="008115A2">
      <w:pPr>
        <w:spacing w:after="0" w:line="240" w:lineRule="auto"/>
        <w:jc w:val="both"/>
        <w:rPr>
          <w:color w:val="000000"/>
          <w:lang w:eastAsia="en-GB"/>
        </w:rPr>
      </w:pPr>
    </w:p>
    <w:p w14:paraId="6585D185" w14:textId="7536CB5B" w:rsidR="008115A2" w:rsidRPr="008324B6" w:rsidRDefault="008115A2" w:rsidP="008115A2">
      <w:pPr>
        <w:spacing w:after="0" w:line="240" w:lineRule="auto"/>
        <w:jc w:val="both"/>
        <w:rPr>
          <w:b/>
          <w:color w:val="000000"/>
          <w:lang w:eastAsia="en-GB"/>
        </w:rPr>
      </w:pPr>
      <w:r w:rsidRPr="008324B6">
        <w:rPr>
          <w:b/>
          <w:color w:val="000000"/>
          <w:lang w:eastAsia="en-GB"/>
        </w:rPr>
        <w:t>Priority</w:t>
      </w:r>
      <w:r>
        <w:rPr>
          <w:b/>
          <w:color w:val="000000"/>
          <w:lang w:eastAsia="en-GB"/>
        </w:rPr>
        <w:t xml:space="preserve"> supervision should be given to the following coho</w:t>
      </w:r>
      <w:r w:rsidR="00E51F6D">
        <w:rPr>
          <w:b/>
          <w:color w:val="000000"/>
          <w:lang w:eastAsia="en-GB"/>
        </w:rPr>
        <w:t xml:space="preserve">rts as we progress through stages </w:t>
      </w:r>
      <w:r>
        <w:rPr>
          <w:b/>
          <w:color w:val="000000"/>
          <w:lang w:eastAsia="en-GB"/>
        </w:rPr>
        <w:t>4 to 1:</w:t>
      </w:r>
    </w:p>
    <w:p w14:paraId="59C3C843" w14:textId="77777777" w:rsidR="008115A2" w:rsidRPr="008324B6" w:rsidRDefault="008115A2" w:rsidP="008115A2">
      <w:pPr>
        <w:spacing w:after="0" w:line="240" w:lineRule="auto"/>
        <w:jc w:val="both"/>
        <w:rPr>
          <w:color w:val="000000"/>
          <w:lang w:eastAsia="en-GB"/>
        </w:rPr>
      </w:pPr>
    </w:p>
    <w:p w14:paraId="46E6903A" w14:textId="0141B38A" w:rsidR="008115A2" w:rsidRPr="008324B6" w:rsidRDefault="008115A2" w:rsidP="008115A2">
      <w:pPr>
        <w:pStyle w:val="CommentText"/>
        <w:numPr>
          <w:ilvl w:val="0"/>
          <w:numId w:val="33"/>
        </w:numPr>
        <w:rPr>
          <w:rFonts w:cstheme="minorHAnsi"/>
          <w:sz w:val="22"/>
          <w:szCs w:val="22"/>
        </w:rPr>
      </w:pPr>
      <w:r w:rsidRPr="008324B6">
        <w:rPr>
          <w:rFonts w:cstheme="minorHAnsi"/>
          <w:sz w:val="22"/>
          <w:szCs w:val="22"/>
        </w:rPr>
        <w:t xml:space="preserve">Newly sentenced </w:t>
      </w:r>
      <w:r w:rsidR="00E7186B" w:rsidRPr="008324B6">
        <w:rPr>
          <w:rFonts w:cstheme="minorHAnsi"/>
          <w:sz w:val="22"/>
          <w:szCs w:val="22"/>
        </w:rPr>
        <w:t>indeterminate</w:t>
      </w:r>
      <w:r w:rsidRPr="008324B6">
        <w:rPr>
          <w:rFonts w:cstheme="minorHAnsi"/>
          <w:sz w:val="22"/>
          <w:szCs w:val="22"/>
        </w:rPr>
        <w:t xml:space="preserve"> prisoners</w:t>
      </w:r>
    </w:p>
    <w:p w14:paraId="1637CB67" w14:textId="77777777" w:rsidR="008115A2" w:rsidRPr="008324B6" w:rsidRDefault="008115A2" w:rsidP="008115A2">
      <w:pPr>
        <w:pStyle w:val="CommentText"/>
        <w:numPr>
          <w:ilvl w:val="0"/>
          <w:numId w:val="33"/>
        </w:numPr>
        <w:rPr>
          <w:rFonts w:cstheme="minorHAnsi"/>
          <w:sz w:val="22"/>
          <w:szCs w:val="22"/>
        </w:rPr>
      </w:pPr>
      <w:r w:rsidRPr="008324B6">
        <w:rPr>
          <w:rFonts w:cstheme="minorHAnsi"/>
          <w:sz w:val="22"/>
          <w:szCs w:val="22"/>
        </w:rPr>
        <w:t>Prisoners in the handover period</w:t>
      </w:r>
    </w:p>
    <w:p w14:paraId="7582E915" w14:textId="74CDACB7" w:rsidR="008115A2" w:rsidRDefault="008115A2" w:rsidP="008115A2">
      <w:pPr>
        <w:pStyle w:val="CommentText"/>
        <w:numPr>
          <w:ilvl w:val="0"/>
          <w:numId w:val="33"/>
        </w:numPr>
        <w:rPr>
          <w:rFonts w:cstheme="minorHAnsi"/>
          <w:sz w:val="22"/>
          <w:szCs w:val="22"/>
        </w:rPr>
      </w:pPr>
      <w:r w:rsidRPr="008324B6">
        <w:rPr>
          <w:rFonts w:cstheme="minorHAnsi"/>
          <w:sz w:val="22"/>
          <w:szCs w:val="22"/>
        </w:rPr>
        <w:t>Prisoners approaching parole</w:t>
      </w:r>
      <w:r w:rsidR="00864C8B">
        <w:rPr>
          <w:rFonts w:cstheme="minorHAnsi"/>
          <w:sz w:val="22"/>
          <w:szCs w:val="22"/>
        </w:rPr>
        <w:t xml:space="preserve">, </w:t>
      </w:r>
      <w:r w:rsidR="00C14809">
        <w:rPr>
          <w:rFonts w:cstheme="minorHAnsi"/>
          <w:sz w:val="22"/>
          <w:szCs w:val="22"/>
        </w:rPr>
        <w:t>I</w:t>
      </w:r>
      <w:r w:rsidR="008C7505">
        <w:rPr>
          <w:rFonts w:cstheme="minorHAnsi"/>
          <w:sz w:val="22"/>
          <w:szCs w:val="22"/>
        </w:rPr>
        <w:t>ndeterminate</w:t>
      </w:r>
      <w:r w:rsidR="00C14809">
        <w:rPr>
          <w:rFonts w:cstheme="minorHAnsi"/>
          <w:sz w:val="22"/>
          <w:szCs w:val="22"/>
        </w:rPr>
        <w:t xml:space="preserve"> and determinate </w:t>
      </w:r>
    </w:p>
    <w:p w14:paraId="3A34D373" w14:textId="77777777" w:rsidR="008115A2" w:rsidRDefault="008115A2" w:rsidP="008115A2">
      <w:pPr>
        <w:pStyle w:val="CommentText"/>
        <w:numPr>
          <w:ilvl w:val="0"/>
          <w:numId w:val="33"/>
        </w:numPr>
        <w:rPr>
          <w:rFonts w:cstheme="minorHAnsi"/>
          <w:sz w:val="22"/>
          <w:szCs w:val="22"/>
        </w:rPr>
      </w:pPr>
      <w:r>
        <w:rPr>
          <w:rFonts w:cstheme="minorHAnsi"/>
          <w:sz w:val="22"/>
          <w:szCs w:val="22"/>
        </w:rPr>
        <w:t>Prisoners identified as meeting the early allocation criteria (e.g. TACT offenders)</w:t>
      </w:r>
    </w:p>
    <w:p w14:paraId="17A0B055" w14:textId="57CD2699" w:rsidR="008115A2" w:rsidRDefault="008115A2" w:rsidP="008115A2">
      <w:pPr>
        <w:pStyle w:val="CommentText"/>
        <w:numPr>
          <w:ilvl w:val="0"/>
          <w:numId w:val="33"/>
        </w:numPr>
        <w:rPr>
          <w:rFonts w:cstheme="minorHAnsi"/>
          <w:sz w:val="22"/>
          <w:szCs w:val="22"/>
        </w:rPr>
      </w:pPr>
      <w:r>
        <w:rPr>
          <w:rFonts w:cstheme="minorHAnsi"/>
          <w:sz w:val="22"/>
          <w:szCs w:val="22"/>
        </w:rPr>
        <w:t>Prisoners who have experienced care</w:t>
      </w:r>
    </w:p>
    <w:p w14:paraId="744E91D2" w14:textId="7C16518F" w:rsidR="0042424B" w:rsidRPr="008324B6" w:rsidRDefault="0042424B" w:rsidP="008115A2">
      <w:pPr>
        <w:pStyle w:val="CommentText"/>
        <w:numPr>
          <w:ilvl w:val="0"/>
          <w:numId w:val="33"/>
        </w:numPr>
        <w:rPr>
          <w:rFonts w:cstheme="minorHAnsi"/>
          <w:sz w:val="22"/>
          <w:szCs w:val="22"/>
        </w:rPr>
      </w:pPr>
      <w:r>
        <w:rPr>
          <w:rFonts w:cstheme="minorHAnsi"/>
          <w:sz w:val="22"/>
          <w:szCs w:val="22"/>
        </w:rPr>
        <w:t>Young Adult Prisoners.</w:t>
      </w:r>
    </w:p>
    <w:p w14:paraId="0A996049" w14:textId="77777777" w:rsidR="008115A2" w:rsidRPr="008324B6" w:rsidRDefault="008115A2" w:rsidP="008115A2">
      <w:pPr>
        <w:pStyle w:val="CommentText"/>
        <w:numPr>
          <w:ilvl w:val="0"/>
          <w:numId w:val="33"/>
        </w:numPr>
        <w:rPr>
          <w:sz w:val="22"/>
          <w:szCs w:val="22"/>
        </w:rPr>
      </w:pPr>
      <w:r w:rsidRPr="008324B6">
        <w:rPr>
          <w:rFonts w:cstheme="minorHAnsi"/>
          <w:sz w:val="22"/>
          <w:szCs w:val="22"/>
        </w:rPr>
        <w:t>Following keyworker/POM consultation, priority prisoners identified in the key work EDM who require additional support.</w:t>
      </w:r>
    </w:p>
    <w:p w14:paraId="02B45D40" w14:textId="29245454" w:rsidR="00B25BBF" w:rsidRDefault="008115A2" w:rsidP="008115A2">
      <w:pPr>
        <w:jc w:val="both"/>
      </w:pPr>
      <w:r>
        <w:t>Delivery of supervision sessions might include shorter sessions or reduced frequency dependent upon available staffing and the ability of establishments to maintain PHE</w:t>
      </w:r>
      <w:r w:rsidR="00BF57E1">
        <w:t>/PHW</w:t>
      </w:r>
      <w:r>
        <w:t xml:space="preserve"> guidelines on physical distancing. In cell telephony if available can be used</w:t>
      </w:r>
      <w:r w:rsidR="00466746">
        <w:t xml:space="preserve"> however face to face supervision is the preferred option in w</w:t>
      </w:r>
      <w:r>
        <w:t xml:space="preserve">ing-based interview rooms where physical distancing guidelines can be adhered to. Many Offender Management Units have open plan offices, consideration must be given to the requirements of social distancing within this environment which needs to be </w:t>
      </w:r>
      <w:proofErr w:type="gramStart"/>
      <w:r>
        <w:t>taken into account</w:t>
      </w:r>
      <w:proofErr w:type="gramEnd"/>
      <w:r>
        <w:t xml:space="preserve"> in Risk Assessments and SSOW.</w:t>
      </w:r>
      <w:r w:rsidR="00466746">
        <w:t xml:space="preserve"> Risk assessments and SSOW must be carried out in consultation with the TUs and Staff Association</w:t>
      </w:r>
      <w:r w:rsidR="0042424B">
        <w:t>s</w:t>
      </w:r>
      <w:r w:rsidR="00466746">
        <w:t>.</w:t>
      </w:r>
      <w:r w:rsidR="00743CB2">
        <w:t xml:space="preserve"> </w:t>
      </w:r>
    </w:p>
    <w:p w14:paraId="2102F96F" w14:textId="3457A8D2" w:rsidR="008115A2" w:rsidRDefault="001361B4" w:rsidP="008115A2">
      <w:pPr>
        <w:jc w:val="both"/>
      </w:pPr>
      <w:r>
        <w:t>Where the</w:t>
      </w:r>
      <w:r w:rsidR="008115A2">
        <w:t xml:space="preserve"> movement of prisoners and staff around the prison</w:t>
      </w:r>
      <w:r w:rsidR="00643ECC">
        <w:t xml:space="preserve"> has to happen in </w:t>
      </w:r>
      <w:r w:rsidR="00B25BBF">
        <w:t>order to</w:t>
      </w:r>
      <w:r w:rsidR="008115A2">
        <w:t xml:space="preserve"> facilitate Offender Management work</w:t>
      </w:r>
      <w:r w:rsidR="00643ECC">
        <w:t xml:space="preserve">, social distancing guidelines must be adhered </w:t>
      </w:r>
      <w:proofErr w:type="gramStart"/>
      <w:r w:rsidR="00643ECC">
        <w:t xml:space="preserve">to </w:t>
      </w:r>
      <w:r w:rsidR="008115A2">
        <w:t xml:space="preserve"> and</w:t>
      </w:r>
      <w:proofErr w:type="gramEnd"/>
      <w:r w:rsidR="008115A2">
        <w:t xml:space="preserve"> not compromised. An arrangement allocating POMS to specific parts of the prison should be considered during this period to minimise the risk of the spread of infection</w:t>
      </w:r>
      <w:r w:rsidR="00236476">
        <w:t xml:space="preserve">. </w:t>
      </w:r>
      <w:r w:rsidR="00AB0906">
        <w:t xml:space="preserve">Psychology Services are operating a pod system to limit the risk of </w:t>
      </w:r>
      <w:r w:rsidR="00A61A91">
        <w:t xml:space="preserve">further </w:t>
      </w:r>
      <w:r w:rsidR="00AB0906">
        <w:t>infectio</w:t>
      </w:r>
      <w:r w:rsidR="00A61A91">
        <w:t>n across establishments</w:t>
      </w:r>
    </w:p>
    <w:p w14:paraId="0A27E52E" w14:textId="77777777" w:rsidR="008115A2" w:rsidRDefault="008115A2" w:rsidP="008115A2">
      <w:pPr>
        <w:jc w:val="both"/>
      </w:pPr>
      <w:r>
        <w:t xml:space="preserve">It is recognised that there may be exceptional local circumstances such as a new, significant outbreak of COVID-19 cases or a high level of staff absence where even the minimum level cannot be delivered. </w:t>
      </w:r>
    </w:p>
    <w:p w14:paraId="378FBE9F" w14:textId="77777777" w:rsidR="008115A2" w:rsidRDefault="008115A2" w:rsidP="008115A2">
      <w:pPr>
        <w:jc w:val="both"/>
        <w:rPr>
          <w:bCs/>
        </w:rPr>
      </w:pPr>
    </w:p>
    <w:p w14:paraId="2090BA59" w14:textId="77777777" w:rsidR="005C7ADF" w:rsidRDefault="005C7ADF" w:rsidP="005C7ADF">
      <w:pPr>
        <w:spacing w:after="0" w:line="240" w:lineRule="auto"/>
        <w:jc w:val="both"/>
        <w:rPr>
          <w:rFonts w:cs="Arial"/>
        </w:rPr>
      </w:pPr>
    </w:p>
    <w:p w14:paraId="6B49A0FA" w14:textId="77777777" w:rsidR="0021206D" w:rsidRPr="00480FD8" w:rsidRDefault="000A0320" w:rsidP="000A0320">
      <w:pPr>
        <w:rPr>
          <w:rFonts w:cs="Arial"/>
        </w:rPr>
      </w:pPr>
      <w:r>
        <w:rPr>
          <w:rFonts w:cs="Arial"/>
        </w:rPr>
        <w:br w:type="page"/>
      </w:r>
    </w:p>
    <w:p w14:paraId="02B17CF4" w14:textId="77777777" w:rsidR="00480FD8" w:rsidRDefault="00480FD8" w:rsidP="00780C73">
      <w:pPr>
        <w:jc w:val="both"/>
        <w:rPr>
          <w:b/>
        </w:rPr>
        <w:sectPr w:rsidR="00480FD8" w:rsidSect="000A0320">
          <w:pgSz w:w="11906" w:h="16838"/>
          <w:pgMar w:top="1440" w:right="1440" w:bottom="1135" w:left="1440" w:header="708" w:footer="708" w:gutter="0"/>
          <w:cols w:space="708"/>
          <w:docGrid w:linePitch="360"/>
        </w:sectPr>
      </w:pPr>
    </w:p>
    <w:p w14:paraId="6E133FEE" w14:textId="77777777" w:rsidR="008D4DD3" w:rsidRPr="008D4DD3" w:rsidRDefault="008D4DD3" w:rsidP="00780C73">
      <w:pPr>
        <w:jc w:val="both"/>
        <w:rPr>
          <w:b/>
        </w:rPr>
      </w:pPr>
      <w:r w:rsidRPr="008D4DD3">
        <w:rPr>
          <w:b/>
        </w:rPr>
        <w:lastRenderedPageBreak/>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3B1957AF"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73887C81" w14:textId="77777777" w:rsidR="008D4DD3" w:rsidRPr="003958C8" w:rsidRDefault="008D4DD3" w:rsidP="00E46BF5">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561D591F" w14:textId="77777777" w:rsidR="008D4DD3" w:rsidRPr="003958C8" w:rsidRDefault="008D4DD3" w:rsidP="00E46BF5">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3EF0E8A2" w14:textId="77777777" w:rsidR="008D4DD3" w:rsidRPr="003958C8" w:rsidRDefault="008D4DD3" w:rsidP="00E46BF5">
            <w:pPr>
              <w:rPr>
                <w:rFonts w:asciiTheme="minorHAnsi" w:hAnsiTheme="minorHAnsi"/>
                <w:szCs w:val="22"/>
              </w:rPr>
            </w:pPr>
          </w:p>
        </w:tc>
      </w:tr>
      <w:tr w:rsidR="008D4DD3" w:rsidRPr="003958C8" w14:paraId="00AE7109"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459D54" w14:textId="77777777" w:rsidR="008D4DD3" w:rsidRPr="008D4DD3" w:rsidRDefault="008D4DD3" w:rsidP="00E46BF5">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187AA"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62ECB9EE"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F330571" w14:textId="77777777" w:rsidR="008D4DD3" w:rsidRPr="008D4DD3" w:rsidRDefault="008D4DD3" w:rsidP="00E46BF5">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4891C" w14:textId="77777777" w:rsidR="008D4DD3" w:rsidRPr="008D4DD3" w:rsidRDefault="008D4DD3" w:rsidP="00E46BF5">
            <w:pPr>
              <w:rPr>
                <w:rFonts w:asciiTheme="minorHAnsi" w:hAnsiTheme="minorHAnsi"/>
              </w:rPr>
            </w:pPr>
            <w:r w:rsidRPr="008D4DD3">
              <w:rPr>
                <w:rFonts w:asciiTheme="minorHAnsi" w:hAnsiTheme="minorHAnsi"/>
              </w:rPr>
              <w:t>Medium – action required as part of wider work</w:t>
            </w:r>
          </w:p>
        </w:tc>
      </w:tr>
      <w:tr w:rsidR="008D4DD3" w:rsidRPr="003958C8" w14:paraId="39C02A35"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A5D998" w14:textId="77777777" w:rsidR="008D4DD3" w:rsidRPr="008D4DD3" w:rsidRDefault="008D4DD3" w:rsidP="00E46BF5">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78E8" w14:textId="77777777" w:rsidR="008D4DD3" w:rsidRPr="008D4DD3" w:rsidRDefault="008D4DD3" w:rsidP="00E46BF5">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1C200980" w14:textId="77777777" w:rsidR="008D4DD3" w:rsidRDefault="008D4DD3" w:rsidP="00343E17">
      <w:pPr>
        <w:spacing w:before="240"/>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2C9B4595" w14:textId="77777777" w:rsidTr="00E46BF5">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1419299A" w14:textId="77777777" w:rsidR="008D4DD3" w:rsidRPr="003958C8" w:rsidRDefault="008D4DD3" w:rsidP="00E46BF5">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245DB1F8" w14:textId="77777777" w:rsidR="008D4DD3" w:rsidRPr="003958C8" w:rsidRDefault="008D4DD3" w:rsidP="00E46BF5">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39813356" w14:textId="77777777" w:rsidR="008D4DD3" w:rsidRPr="003958C8" w:rsidRDefault="008D4DD3" w:rsidP="00E46BF5">
            <w:pPr>
              <w:rPr>
                <w:rFonts w:asciiTheme="minorHAnsi" w:hAnsiTheme="minorHAnsi"/>
                <w:szCs w:val="22"/>
              </w:rPr>
            </w:pPr>
          </w:p>
        </w:tc>
      </w:tr>
      <w:tr w:rsidR="008D4DD3" w:rsidRPr="008D4DD3" w14:paraId="5DAB3C10" w14:textId="77777777" w:rsidTr="00E46BF5">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BC928B6" w14:textId="77777777" w:rsidR="008D4DD3" w:rsidRPr="008D4DD3" w:rsidRDefault="008D4DD3" w:rsidP="00E46BF5">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BC82D" w14:textId="77777777" w:rsidR="008D4DD3" w:rsidRPr="008D4DD3" w:rsidRDefault="008D4DD3" w:rsidP="008D4DD3">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8D4DD3" w:rsidRPr="008D4DD3" w14:paraId="66D5C162" w14:textId="77777777" w:rsidTr="00E46BF5">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D2C2A3A" w14:textId="77777777" w:rsidR="008D4DD3" w:rsidRPr="008D4DD3" w:rsidRDefault="008D4DD3" w:rsidP="00E46BF5">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CA292" w14:textId="77777777" w:rsidR="008D4DD3" w:rsidRPr="008D4DD3" w:rsidRDefault="008D4DD3" w:rsidP="00E46BF5">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8D4DD3" w:rsidRPr="008D4DD3" w14:paraId="0B746E55" w14:textId="77777777" w:rsidTr="00E46BF5">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168C0AB" w14:textId="77777777" w:rsidR="008D4DD3" w:rsidRPr="008D4DD3" w:rsidRDefault="008D4DD3" w:rsidP="00E46BF5">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42176" w14:textId="77777777" w:rsidR="008D4DD3" w:rsidRPr="008D4DD3" w:rsidRDefault="008D4DD3" w:rsidP="00E46BF5">
            <w:pPr>
              <w:rPr>
                <w:rFonts w:asciiTheme="minorHAnsi" w:hAnsiTheme="minorHAnsi"/>
              </w:rPr>
            </w:pPr>
            <w:r>
              <w:rPr>
                <w:rFonts w:asciiTheme="minorHAnsi" w:hAnsiTheme="minorHAnsi"/>
              </w:rPr>
              <w:t>Establishment has limited autonomy and must deliver the product as stipulated</w:t>
            </w:r>
          </w:p>
        </w:tc>
      </w:tr>
    </w:tbl>
    <w:p w14:paraId="0CB96AC7" w14:textId="77777777" w:rsidR="00651F30" w:rsidRDefault="00651F30" w:rsidP="006928BB">
      <w:pPr>
        <w:spacing w:after="0" w:line="240" w:lineRule="auto"/>
        <w:jc w:val="both"/>
        <w:rPr>
          <w:b/>
          <w:sz w:val="28"/>
          <w:szCs w:val="28"/>
        </w:rPr>
        <w:sectPr w:rsidR="00651F30" w:rsidSect="00480FD8">
          <w:pgSz w:w="16838" w:h="11906" w:orient="landscape"/>
          <w:pgMar w:top="1440" w:right="1440" w:bottom="1440" w:left="1440" w:header="708" w:footer="708" w:gutter="0"/>
          <w:cols w:space="708"/>
          <w:docGrid w:linePitch="360"/>
        </w:sectPr>
      </w:pPr>
    </w:p>
    <w:p w14:paraId="40421B1A" w14:textId="596D0F91" w:rsidR="0075300D" w:rsidRPr="00B25BBF" w:rsidRDefault="0075300D" w:rsidP="006928BB">
      <w:pPr>
        <w:spacing w:after="0" w:line="240" w:lineRule="auto"/>
        <w:jc w:val="both"/>
        <w:rPr>
          <w:b/>
          <w:sz w:val="26"/>
          <w:szCs w:val="26"/>
        </w:rPr>
      </w:pPr>
      <w:r w:rsidRPr="00B25BBF">
        <w:rPr>
          <w:b/>
          <w:sz w:val="26"/>
          <w:szCs w:val="26"/>
        </w:rPr>
        <w:lastRenderedPageBreak/>
        <w:t>Exceptio</w:t>
      </w:r>
      <w:r w:rsidR="0096011E" w:rsidRPr="00B25BBF">
        <w:rPr>
          <w:b/>
          <w:sz w:val="26"/>
          <w:szCs w:val="26"/>
        </w:rPr>
        <w:t>nal Delivery Regime model: Offender Management</w:t>
      </w:r>
      <w:r w:rsidR="006625C6" w:rsidRPr="00B25BBF">
        <w:rPr>
          <w:b/>
          <w:sz w:val="26"/>
          <w:szCs w:val="26"/>
        </w:rPr>
        <w:t xml:space="preserve"> in the closed male estate</w:t>
      </w:r>
      <w:r w:rsidR="00B92D27" w:rsidRPr="00B25BBF">
        <w:rPr>
          <w:b/>
          <w:sz w:val="26"/>
          <w:szCs w:val="26"/>
        </w:rPr>
        <w:t xml:space="preserve"> – t</w:t>
      </w:r>
      <w:r w:rsidR="00E51F6D">
        <w:rPr>
          <w:b/>
          <w:sz w:val="26"/>
          <w:szCs w:val="26"/>
        </w:rPr>
        <w:t>asks to be completed under stage</w:t>
      </w:r>
      <w:r w:rsidR="00B92D27" w:rsidRPr="00B25BBF">
        <w:rPr>
          <w:b/>
          <w:sz w:val="26"/>
          <w:szCs w:val="26"/>
        </w:rPr>
        <w:t xml:space="preserve"> 3</w:t>
      </w:r>
    </w:p>
    <w:p w14:paraId="431680DF" w14:textId="77777777" w:rsidR="0075300D" w:rsidRPr="008D4DD3" w:rsidRDefault="0075300D" w:rsidP="008D4DD3">
      <w:pPr>
        <w:spacing w:after="0" w:line="240" w:lineRule="auto"/>
        <w:jc w:val="both"/>
        <w:rPr>
          <w:b/>
        </w:rPr>
      </w:pPr>
    </w:p>
    <w:tbl>
      <w:tblPr>
        <w:tblStyle w:val="TableGrid"/>
        <w:tblW w:w="0" w:type="auto"/>
        <w:tblInd w:w="-289" w:type="dxa"/>
        <w:shd w:val="clear" w:color="auto" w:fill="7F4098"/>
        <w:tblLook w:val="04A0" w:firstRow="1" w:lastRow="0" w:firstColumn="1" w:lastColumn="0" w:noHBand="0" w:noVBand="1"/>
      </w:tblPr>
      <w:tblGrid>
        <w:gridCol w:w="1779"/>
        <w:gridCol w:w="5279"/>
        <w:gridCol w:w="1156"/>
        <w:gridCol w:w="1796"/>
        <w:gridCol w:w="4227"/>
      </w:tblGrid>
      <w:tr w:rsidR="00BC5317" w14:paraId="2A3C7729" w14:textId="77777777" w:rsidTr="001146E4">
        <w:trPr>
          <w:trHeight w:val="819"/>
        </w:trPr>
        <w:tc>
          <w:tcPr>
            <w:tcW w:w="1779" w:type="dxa"/>
            <w:tcBorders>
              <w:bottom w:val="single" w:sz="4" w:space="0" w:color="auto"/>
            </w:tcBorders>
            <w:shd w:val="clear" w:color="auto" w:fill="7F4098"/>
          </w:tcPr>
          <w:p w14:paraId="515ACF57" w14:textId="77777777" w:rsidR="00C772E4" w:rsidRPr="00BC5317" w:rsidRDefault="00C772E4" w:rsidP="0030699B">
            <w:pPr>
              <w:jc w:val="both"/>
              <w:rPr>
                <w:b/>
                <w:color w:val="FFFFFF" w:themeColor="background1"/>
              </w:rPr>
            </w:pPr>
            <w:r w:rsidRPr="00BC5317">
              <w:rPr>
                <w:b/>
                <w:color w:val="FFFFFF" w:themeColor="background1"/>
              </w:rPr>
              <w:t>Area/Process</w:t>
            </w:r>
          </w:p>
        </w:tc>
        <w:tc>
          <w:tcPr>
            <w:tcW w:w="5279" w:type="dxa"/>
            <w:tcBorders>
              <w:bottom w:val="single" w:sz="4" w:space="0" w:color="auto"/>
            </w:tcBorders>
            <w:shd w:val="clear" w:color="auto" w:fill="7F4098"/>
          </w:tcPr>
          <w:p w14:paraId="23D11EC3" w14:textId="77777777" w:rsidR="00C772E4" w:rsidRPr="00BC5317" w:rsidRDefault="00C772E4" w:rsidP="0030699B">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2895F6BC" w14:textId="77777777" w:rsidR="00C772E4" w:rsidRPr="00BC5317" w:rsidRDefault="00C772E4" w:rsidP="0030699B">
            <w:pPr>
              <w:jc w:val="both"/>
              <w:rPr>
                <w:b/>
                <w:color w:val="FFFFFF" w:themeColor="background1"/>
              </w:rPr>
            </w:pPr>
            <w:r w:rsidRPr="00BC5317">
              <w:rPr>
                <w:b/>
                <w:color w:val="FFFFFF" w:themeColor="background1"/>
              </w:rPr>
              <w:t>Weighting (1,2,3)</w:t>
            </w:r>
          </w:p>
        </w:tc>
        <w:tc>
          <w:tcPr>
            <w:tcW w:w="1796" w:type="dxa"/>
            <w:tcBorders>
              <w:bottom w:val="single" w:sz="4" w:space="0" w:color="auto"/>
            </w:tcBorders>
            <w:shd w:val="clear" w:color="auto" w:fill="7F4098"/>
          </w:tcPr>
          <w:p w14:paraId="1C27403F" w14:textId="77777777" w:rsidR="00C772E4" w:rsidRPr="00BC5317" w:rsidRDefault="00C772E4" w:rsidP="00CF79F3">
            <w:pPr>
              <w:rPr>
                <w:b/>
                <w:color w:val="FFFFFF" w:themeColor="background1"/>
              </w:rPr>
            </w:pPr>
            <w:r w:rsidRPr="00BC5317">
              <w:rPr>
                <w:b/>
                <w:color w:val="FFFFFF" w:themeColor="background1"/>
              </w:rPr>
              <w:t>Autonomy Level</w:t>
            </w:r>
          </w:p>
          <w:p w14:paraId="28D88256" w14:textId="77777777" w:rsidR="00C772E4" w:rsidRPr="00BC5317" w:rsidRDefault="00C772E4" w:rsidP="00CF79F3">
            <w:pPr>
              <w:rPr>
                <w:b/>
                <w:color w:val="FFFFFF" w:themeColor="background1"/>
              </w:rPr>
            </w:pPr>
            <w:r w:rsidRPr="00BC5317">
              <w:rPr>
                <w:b/>
                <w:color w:val="FFFFFF" w:themeColor="background1"/>
              </w:rPr>
              <w:t>(total, partial, limited)</w:t>
            </w:r>
          </w:p>
        </w:tc>
        <w:tc>
          <w:tcPr>
            <w:tcW w:w="4227" w:type="dxa"/>
            <w:tcBorders>
              <w:bottom w:val="single" w:sz="4" w:space="0" w:color="auto"/>
            </w:tcBorders>
            <w:shd w:val="clear" w:color="auto" w:fill="7F4098"/>
          </w:tcPr>
          <w:p w14:paraId="150CE1BB" w14:textId="77777777" w:rsidR="006B63A7" w:rsidRPr="00BC5317" w:rsidRDefault="00C772E4" w:rsidP="0030699B">
            <w:pPr>
              <w:jc w:val="both"/>
              <w:rPr>
                <w:b/>
                <w:color w:val="FFFFFF" w:themeColor="background1"/>
              </w:rPr>
            </w:pPr>
            <w:r w:rsidRPr="00BC5317">
              <w:rPr>
                <w:b/>
                <w:color w:val="FFFFFF" w:themeColor="background1"/>
              </w:rPr>
              <w:t>Comments</w:t>
            </w:r>
            <w:r w:rsidR="00CF79F3">
              <w:rPr>
                <w:b/>
                <w:color w:val="FFFFFF" w:themeColor="background1"/>
              </w:rPr>
              <w:t>/Sources of information</w:t>
            </w:r>
          </w:p>
        </w:tc>
      </w:tr>
      <w:tr w:rsidR="00BC5317" w14:paraId="0B63B5C2" w14:textId="77777777" w:rsidTr="00CA7215">
        <w:tc>
          <w:tcPr>
            <w:tcW w:w="14237" w:type="dxa"/>
            <w:gridSpan w:val="5"/>
            <w:tcBorders>
              <w:bottom w:val="single" w:sz="4" w:space="0" w:color="auto"/>
            </w:tcBorders>
            <w:shd w:val="clear" w:color="auto" w:fill="BFBFBF" w:themeFill="background1" w:themeFillShade="BF"/>
          </w:tcPr>
          <w:p w14:paraId="6CB42A85" w14:textId="77777777" w:rsidR="00BC5317" w:rsidRDefault="00BC5317" w:rsidP="0030699B">
            <w:pPr>
              <w:jc w:val="both"/>
              <w:rPr>
                <w:b/>
              </w:rPr>
            </w:pPr>
            <w:r>
              <w:rPr>
                <w:b/>
              </w:rPr>
              <w:t>Mandatory actions</w:t>
            </w:r>
          </w:p>
          <w:p w14:paraId="56D02D39" w14:textId="77777777" w:rsidR="00BC5317" w:rsidRDefault="00BC5317" w:rsidP="0030699B">
            <w:pPr>
              <w:jc w:val="both"/>
              <w:rPr>
                <w:b/>
              </w:rPr>
            </w:pPr>
          </w:p>
        </w:tc>
      </w:tr>
      <w:tr w:rsidR="002104BB" w14:paraId="36C2DEE5" w14:textId="77777777" w:rsidTr="001146E4">
        <w:tc>
          <w:tcPr>
            <w:tcW w:w="1779" w:type="dxa"/>
            <w:vMerge w:val="restart"/>
            <w:shd w:val="clear" w:color="auto" w:fill="DBC1E5"/>
          </w:tcPr>
          <w:p w14:paraId="0B4082FC" w14:textId="77777777" w:rsidR="002104BB" w:rsidRDefault="002104BB" w:rsidP="00C96CDD">
            <w:pPr>
              <w:rPr>
                <w:b/>
              </w:rPr>
            </w:pPr>
            <w:r>
              <w:rPr>
                <w:b/>
              </w:rPr>
              <w:t>1. Start of sentence</w:t>
            </w:r>
          </w:p>
        </w:tc>
        <w:tc>
          <w:tcPr>
            <w:tcW w:w="5279" w:type="dxa"/>
            <w:shd w:val="clear" w:color="auto" w:fill="DBC1E5"/>
          </w:tcPr>
          <w:p w14:paraId="44EDB72B" w14:textId="77777777" w:rsidR="002104BB" w:rsidRDefault="002104BB" w:rsidP="00713386">
            <w:pPr>
              <w:rPr>
                <w:rFonts w:ascii="Calibri" w:hAnsi="Calibri" w:cs="Calibri"/>
              </w:rPr>
            </w:pPr>
            <w:r w:rsidRPr="0075300D">
              <w:rPr>
                <w:b/>
              </w:rPr>
              <w:t>1.1</w:t>
            </w:r>
            <w:r w:rsidRPr="00BC5317">
              <w:t xml:space="preserve"> </w:t>
            </w:r>
            <w:r>
              <w:rPr>
                <w:rFonts w:ascii="Calibri" w:hAnsi="Calibri" w:cs="Calibri"/>
              </w:rPr>
              <w:t>S</w:t>
            </w:r>
            <w:r w:rsidRPr="00715C9F">
              <w:rPr>
                <w:rFonts w:ascii="Calibri" w:hAnsi="Calibri" w:cs="Calibri"/>
              </w:rPr>
              <w:t>creening for Cat A/Initial Categorisations/Re-Categorisations</w:t>
            </w:r>
          </w:p>
          <w:p w14:paraId="6E98BA3F" w14:textId="77777777" w:rsidR="002104BB" w:rsidRDefault="002104BB" w:rsidP="00713386">
            <w:pPr>
              <w:rPr>
                <w:rFonts w:ascii="Calibri" w:hAnsi="Calibri" w:cs="Calibri"/>
              </w:rPr>
            </w:pPr>
          </w:p>
          <w:p w14:paraId="742DE39E" w14:textId="11173563" w:rsidR="002104BB" w:rsidRDefault="002104BB" w:rsidP="00713386">
            <w:pPr>
              <w:rPr>
                <w:rFonts w:ascii="Calibri" w:hAnsi="Calibri" w:cs="Calibri"/>
              </w:rPr>
            </w:pPr>
            <w:r>
              <w:rPr>
                <w:rFonts w:ascii="Calibri" w:hAnsi="Calibri" w:cs="Calibri"/>
              </w:rPr>
              <w:t>Where it is not possible to interview a prisoner, POM’s</w:t>
            </w:r>
            <w:r w:rsidR="00F42569">
              <w:rPr>
                <w:rFonts w:ascii="Calibri" w:hAnsi="Calibri" w:cs="Calibri"/>
              </w:rPr>
              <w:t xml:space="preserve"> to use alternative technology and/or</w:t>
            </w:r>
            <w:r>
              <w:rPr>
                <w:rFonts w:ascii="Calibri" w:hAnsi="Calibri" w:cs="Calibri"/>
              </w:rPr>
              <w:t xml:space="preserve"> u</w:t>
            </w:r>
            <w:r w:rsidRPr="00715C9F">
              <w:rPr>
                <w:rFonts w:ascii="Calibri" w:hAnsi="Calibri" w:cs="Calibri"/>
              </w:rPr>
              <w:t xml:space="preserve">tilise existing information in OASys assessments along with additional information from quantum systems to support </w:t>
            </w:r>
            <w:proofErr w:type="spellStart"/>
            <w:r w:rsidRPr="00715C9F">
              <w:rPr>
                <w:rFonts w:ascii="Calibri" w:hAnsi="Calibri" w:cs="Calibri"/>
              </w:rPr>
              <w:t>recategori</w:t>
            </w:r>
            <w:r>
              <w:rPr>
                <w:rFonts w:ascii="Calibri" w:hAnsi="Calibri" w:cs="Calibri"/>
              </w:rPr>
              <w:t>s</w:t>
            </w:r>
            <w:r w:rsidRPr="00715C9F">
              <w:rPr>
                <w:rFonts w:ascii="Calibri" w:hAnsi="Calibri" w:cs="Calibri"/>
              </w:rPr>
              <w:t>ation</w:t>
            </w:r>
            <w:proofErr w:type="spellEnd"/>
            <w:r w:rsidRPr="00715C9F">
              <w:rPr>
                <w:rFonts w:ascii="Calibri" w:hAnsi="Calibri" w:cs="Calibri"/>
              </w:rPr>
              <w:t xml:space="preserve"> decisions.</w:t>
            </w:r>
            <w:r>
              <w:rPr>
                <w:rFonts w:ascii="Calibri" w:hAnsi="Calibri" w:cs="Calibri"/>
              </w:rPr>
              <w:t xml:space="preserve"> </w:t>
            </w:r>
          </w:p>
          <w:p w14:paraId="1F82116C" w14:textId="77777777" w:rsidR="002104BB" w:rsidRPr="00BC5317" w:rsidRDefault="002104BB" w:rsidP="0075300D"/>
        </w:tc>
        <w:tc>
          <w:tcPr>
            <w:tcW w:w="1156" w:type="dxa"/>
            <w:shd w:val="clear" w:color="auto" w:fill="DBC1E5"/>
          </w:tcPr>
          <w:p w14:paraId="5BE31ACC" w14:textId="77777777" w:rsidR="002104BB" w:rsidRPr="00C466E1" w:rsidRDefault="002104BB" w:rsidP="00C466E1">
            <w:pPr>
              <w:jc w:val="center"/>
              <w:rPr>
                <w:b/>
              </w:rPr>
            </w:pPr>
            <w:r w:rsidRPr="00C466E1">
              <w:rPr>
                <w:b/>
              </w:rPr>
              <w:t>3</w:t>
            </w:r>
          </w:p>
        </w:tc>
        <w:tc>
          <w:tcPr>
            <w:tcW w:w="1796" w:type="dxa"/>
            <w:shd w:val="clear" w:color="auto" w:fill="DBC1E5"/>
          </w:tcPr>
          <w:p w14:paraId="3287F7A6" w14:textId="77777777" w:rsidR="002104BB" w:rsidRPr="005D0DB5" w:rsidRDefault="002104BB" w:rsidP="00CF79F3">
            <w:pPr>
              <w:jc w:val="center"/>
              <w:rPr>
                <w:b/>
              </w:rPr>
            </w:pPr>
            <w:r w:rsidRPr="005D0DB5">
              <w:rPr>
                <w:b/>
              </w:rPr>
              <w:t>Limited</w:t>
            </w:r>
          </w:p>
        </w:tc>
        <w:tc>
          <w:tcPr>
            <w:tcW w:w="4227" w:type="dxa"/>
            <w:shd w:val="clear" w:color="auto" w:fill="DBC1E5"/>
          </w:tcPr>
          <w:p w14:paraId="25347898" w14:textId="77777777" w:rsidR="002104BB" w:rsidRPr="00F550F7" w:rsidRDefault="002F671C" w:rsidP="00F550F7">
            <w:pPr>
              <w:jc w:val="both"/>
              <w:rPr>
                <w:b/>
                <w:u w:val="single"/>
              </w:rPr>
            </w:pPr>
            <w:hyperlink r:id="rId15" w:history="1">
              <w:r w:rsidR="002104BB" w:rsidRPr="00F550F7">
                <w:rPr>
                  <w:rStyle w:val="Hyperlink"/>
                  <w:b/>
                </w:rPr>
                <w:t xml:space="preserve">Categorisation and </w:t>
              </w:r>
              <w:proofErr w:type="spellStart"/>
              <w:r w:rsidR="002104BB" w:rsidRPr="00F550F7">
                <w:rPr>
                  <w:rStyle w:val="Hyperlink"/>
                  <w:b/>
                </w:rPr>
                <w:t>Recategorisation</w:t>
              </w:r>
              <w:proofErr w:type="spellEnd"/>
            </w:hyperlink>
          </w:p>
          <w:p w14:paraId="69031829" w14:textId="77777777" w:rsidR="002104BB" w:rsidRPr="00CF79F3" w:rsidRDefault="002104BB" w:rsidP="00DA6105"/>
        </w:tc>
      </w:tr>
      <w:tr w:rsidR="002104BB" w14:paraId="7054738C" w14:textId="77777777" w:rsidTr="001146E4">
        <w:trPr>
          <w:trHeight w:val="805"/>
        </w:trPr>
        <w:tc>
          <w:tcPr>
            <w:tcW w:w="1779" w:type="dxa"/>
            <w:vMerge/>
            <w:shd w:val="clear" w:color="auto" w:fill="DBC1E5"/>
          </w:tcPr>
          <w:p w14:paraId="6CEDD6A6" w14:textId="77777777" w:rsidR="002104BB" w:rsidRDefault="002104BB" w:rsidP="00D23BC9">
            <w:pPr>
              <w:jc w:val="both"/>
              <w:rPr>
                <w:b/>
              </w:rPr>
            </w:pPr>
          </w:p>
        </w:tc>
        <w:tc>
          <w:tcPr>
            <w:tcW w:w="5279" w:type="dxa"/>
            <w:shd w:val="clear" w:color="auto" w:fill="DBC1E5"/>
          </w:tcPr>
          <w:p w14:paraId="7B5087E0" w14:textId="544F4B3B" w:rsidR="002104BB" w:rsidRPr="0075300D" w:rsidRDefault="002104BB" w:rsidP="00D23BC9">
            <w:r w:rsidRPr="009870C8">
              <w:rPr>
                <w:rFonts w:ascii="Calibri" w:hAnsi="Calibri" w:cs="Calibri"/>
                <w:b/>
              </w:rPr>
              <w:t>1.2</w:t>
            </w:r>
            <w:r>
              <w:rPr>
                <w:rFonts w:ascii="Calibri" w:hAnsi="Calibri" w:cs="Calibri"/>
              </w:rPr>
              <w:t xml:space="preserve"> </w:t>
            </w:r>
            <w:r w:rsidRPr="00715C9F">
              <w:rPr>
                <w:rFonts w:ascii="Calibri" w:hAnsi="Calibri" w:cs="Calibri"/>
              </w:rPr>
              <w:t xml:space="preserve">Allocation </w:t>
            </w:r>
            <w:r>
              <w:rPr>
                <w:rFonts w:ascii="Calibri" w:hAnsi="Calibri" w:cs="Calibri"/>
              </w:rPr>
              <w:t xml:space="preserve">of all new cases to a named POM, which must comply with </w:t>
            </w:r>
            <w:proofErr w:type="spellStart"/>
            <w:r>
              <w:rPr>
                <w:rFonts w:ascii="Calibri" w:hAnsi="Calibri" w:cs="Calibri"/>
              </w:rPr>
              <w:t>OMiC</w:t>
            </w:r>
            <w:proofErr w:type="spellEnd"/>
            <w:r>
              <w:rPr>
                <w:rFonts w:ascii="Calibri" w:hAnsi="Calibri" w:cs="Calibri"/>
              </w:rPr>
              <w:t xml:space="preserve"> case allocation principles. </w:t>
            </w:r>
            <w:r w:rsidRPr="00715C9F">
              <w:rPr>
                <w:rFonts w:ascii="Calibri" w:hAnsi="Calibri" w:cs="Calibri"/>
              </w:rPr>
              <w:t xml:space="preserve"> </w:t>
            </w:r>
            <w:r>
              <w:rPr>
                <w:rFonts w:ascii="Calibri" w:hAnsi="Calibri" w:cs="Calibri"/>
              </w:rPr>
              <w:t>Where the case management support model was in place pre-</w:t>
            </w:r>
            <w:proofErr w:type="spellStart"/>
            <w:r>
              <w:rPr>
                <w:rFonts w:ascii="Calibri" w:hAnsi="Calibri" w:cs="Calibri"/>
              </w:rPr>
              <w:t>Covid</w:t>
            </w:r>
            <w:proofErr w:type="spellEnd"/>
            <w:r>
              <w:rPr>
                <w:rFonts w:ascii="Calibri" w:hAnsi="Calibri" w:cs="Calibri"/>
              </w:rPr>
              <w:t xml:space="preserve">, appropriate support and mentoring must be in place to support prison based POM’s. </w:t>
            </w:r>
          </w:p>
        </w:tc>
        <w:tc>
          <w:tcPr>
            <w:tcW w:w="1156" w:type="dxa"/>
            <w:shd w:val="clear" w:color="auto" w:fill="DBC1E5"/>
          </w:tcPr>
          <w:p w14:paraId="5B799A07" w14:textId="77777777" w:rsidR="002104BB" w:rsidRPr="00C466E1" w:rsidRDefault="002104BB" w:rsidP="00C466E1">
            <w:pPr>
              <w:jc w:val="center"/>
              <w:rPr>
                <w:b/>
              </w:rPr>
            </w:pPr>
            <w:r w:rsidRPr="00C466E1">
              <w:rPr>
                <w:b/>
              </w:rPr>
              <w:t>3</w:t>
            </w:r>
          </w:p>
        </w:tc>
        <w:tc>
          <w:tcPr>
            <w:tcW w:w="1796" w:type="dxa"/>
            <w:shd w:val="clear" w:color="auto" w:fill="DBC1E5"/>
          </w:tcPr>
          <w:p w14:paraId="6316EFE8" w14:textId="77777777" w:rsidR="002104BB" w:rsidRDefault="002104BB" w:rsidP="00D23BC9">
            <w:pPr>
              <w:jc w:val="center"/>
              <w:rPr>
                <w:b/>
              </w:rPr>
            </w:pPr>
            <w:r>
              <w:rPr>
                <w:b/>
              </w:rPr>
              <w:t>Limited</w:t>
            </w:r>
          </w:p>
        </w:tc>
        <w:tc>
          <w:tcPr>
            <w:tcW w:w="4227" w:type="dxa"/>
            <w:shd w:val="clear" w:color="auto" w:fill="DBC1E5"/>
          </w:tcPr>
          <w:p w14:paraId="01FE90AB" w14:textId="77777777" w:rsidR="002104BB" w:rsidRDefault="002104BB" w:rsidP="00D23BC9">
            <w:r>
              <w:t>OMIC POM Allocation Guidance v2</w:t>
            </w:r>
          </w:p>
          <w:p w14:paraId="1E00AD7D" w14:textId="77777777" w:rsidR="002104BB" w:rsidRDefault="002104BB" w:rsidP="00D23BC9"/>
          <w:p w14:paraId="1B0C6530" w14:textId="77777777" w:rsidR="002104BB" w:rsidRDefault="002104BB" w:rsidP="00D23BC9">
            <w:r>
              <w:t>OMIC Case Management Support Model</w:t>
            </w:r>
          </w:p>
          <w:p w14:paraId="4592A593" w14:textId="77777777" w:rsidR="002104BB" w:rsidRDefault="002104BB" w:rsidP="00D23BC9"/>
          <w:p w14:paraId="25E6C8A7" w14:textId="77777777" w:rsidR="002104BB" w:rsidRPr="007635E8" w:rsidRDefault="002F671C" w:rsidP="007635E8">
            <w:pPr>
              <w:jc w:val="both"/>
              <w:rPr>
                <w:b/>
                <w:u w:val="single"/>
              </w:rPr>
            </w:pPr>
            <w:hyperlink r:id="rId16" w:history="1">
              <w:r w:rsidR="002104BB" w:rsidRPr="007635E8">
                <w:rPr>
                  <w:rStyle w:val="Hyperlink"/>
                  <w:b/>
                </w:rPr>
                <w:t>Allocation</w:t>
              </w:r>
            </w:hyperlink>
          </w:p>
          <w:p w14:paraId="21AC76C0" w14:textId="77777777" w:rsidR="002104BB" w:rsidRPr="00CF79F3" w:rsidRDefault="002104BB" w:rsidP="00D23BC9"/>
        </w:tc>
      </w:tr>
      <w:tr w:rsidR="002104BB" w14:paraId="363EDC74" w14:textId="77777777" w:rsidTr="001146E4">
        <w:trPr>
          <w:trHeight w:val="805"/>
        </w:trPr>
        <w:tc>
          <w:tcPr>
            <w:tcW w:w="1779" w:type="dxa"/>
            <w:vMerge/>
            <w:shd w:val="clear" w:color="auto" w:fill="DBC1E5"/>
          </w:tcPr>
          <w:p w14:paraId="6465FA22" w14:textId="77777777" w:rsidR="002104BB" w:rsidRDefault="002104BB" w:rsidP="00D23BC9">
            <w:pPr>
              <w:jc w:val="both"/>
              <w:rPr>
                <w:b/>
              </w:rPr>
            </w:pPr>
          </w:p>
        </w:tc>
        <w:tc>
          <w:tcPr>
            <w:tcW w:w="5279" w:type="dxa"/>
            <w:shd w:val="clear" w:color="auto" w:fill="DBC1E5"/>
          </w:tcPr>
          <w:p w14:paraId="3739C5C4" w14:textId="0DFC5ECC" w:rsidR="002104BB" w:rsidRPr="009870C8" w:rsidRDefault="002104BB" w:rsidP="00D23BC9">
            <w:pPr>
              <w:rPr>
                <w:rFonts w:ascii="Calibri" w:hAnsi="Calibri" w:cs="Calibri"/>
                <w:b/>
              </w:rPr>
            </w:pPr>
            <w:r>
              <w:rPr>
                <w:rFonts w:ascii="Calibri" w:hAnsi="Calibri" w:cs="Calibri"/>
                <w:b/>
              </w:rPr>
              <w:t>1.3 Bail</w:t>
            </w:r>
          </w:p>
        </w:tc>
        <w:tc>
          <w:tcPr>
            <w:tcW w:w="1156" w:type="dxa"/>
            <w:shd w:val="clear" w:color="auto" w:fill="DBC1E5"/>
          </w:tcPr>
          <w:p w14:paraId="3E64BAC2" w14:textId="7C27ADE7" w:rsidR="002104BB" w:rsidRPr="00C466E1" w:rsidRDefault="005E6FC4" w:rsidP="00C466E1">
            <w:pPr>
              <w:jc w:val="center"/>
              <w:rPr>
                <w:b/>
              </w:rPr>
            </w:pPr>
            <w:r>
              <w:rPr>
                <w:b/>
              </w:rPr>
              <w:t>3</w:t>
            </w:r>
          </w:p>
        </w:tc>
        <w:tc>
          <w:tcPr>
            <w:tcW w:w="1796" w:type="dxa"/>
            <w:shd w:val="clear" w:color="auto" w:fill="DBC1E5"/>
          </w:tcPr>
          <w:p w14:paraId="395D740D" w14:textId="78F6CE1D" w:rsidR="002104BB" w:rsidRDefault="005E6FC4" w:rsidP="00D23BC9">
            <w:pPr>
              <w:jc w:val="center"/>
              <w:rPr>
                <w:b/>
              </w:rPr>
            </w:pPr>
            <w:r>
              <w:rPr>
                <w:b/>
              </w:rPr>
              <w:t>Limited</w:t>
            </w:r>
          </w:p>
        </w:tc>
        <w:tc>
          <w:tcPr>
            <w:tcW w:w="4227" w:type="dxa"/>
            <w:shd w:val="clear" w:color="auto" w:fill="DBC1E5"/>
          </w:tcPr>
          <w:p w14:paraId="17BA0678" w14:textId="77777777" w:rsidR="00DB129E" w:rsidRDefault="002F671C" w:rsidP="00DB129E">
            <w:hyperlink r:id="rId17" w:history="1">
              <w:r w:rsidR="00DB129E">
                <w:rPr>
                  <w:rStyle w:val="Hyperlink"/>
                </w:rPr>
                <w:t>Bail</w:t>
              </w:r>
            </w:hyperlink>
          </w:p>
          <w:p w14:paraId="5139ECD1" w14:textId="77777777" w:rsidR="002104BB" w:rsidRDefault="002104BB" w:rsidP="00D23BC9"/>
        </w:tc>
      </w:tr>
      <w:tr w:rsidR="004A4BAA" w14:paraId="2C057B26" w14:textId="77777777" w:rsidTr="001146E4">
        <w:tc>
          <w:tcPr>
            <w:tcW w:w="1779" w:type="dxa"/>
            <w:vMerge w:val="restart"/>
            <w:shd w:val="clear" w:color="auto" w:fill="BA89CD"/>
          </w:tcPr>
          <w:p w14:paraId="72E1ACDB" w14:textId="77777777" w:rsidR="004A4BAA" w:rsidRDefault="004A4BAA" w:rsidP="00D23BC9">
            <w:pPr>
              <w:jc w:val="both"/>
              <w:rPr>
                <w:b/>
              </w:rPr>
            </w:pPr>
            <w:r>
              <w:rPr>
                <w:b/>
              </w:rPr>
              <w:t>2. Throughout the sentence</w:t>
            </w:r>
          </w:p>
        </w:tc>
        <w:tc>
          <w:tcPr>
            <w:tcW w:w="5279" w:type="dxa"/>
            <w:tcBorders>
              <w:bottom w:val="single" w:sz="4" w:space="0" w:color="auto"/>
            </w:tcBorders>
            <w:shd w:val="clear" w:color="auto" w:fill="BA89CD"/>
          </w:tcPr>
          <w:p w14:paraId="56B13615" w14:textId="77777777" w:rsidR="004A4BAA" w:rsidRPr="00BC5317" w:rsidRDefault="004A4BAA" w:rsidP="00D23BC9">
            <w:r w:rsidRPr="005E3DB1">
              <w:rPr>
                <w:rFonts w:ascii="Calibri" w:hAnsi="Calibri" w:cs="Calibri"/>
                <w:b/>
              </w:rPr>
              <w:t>2.1</w:t>
            </w:r>
            <w:r>
              <w:rPr>
                <w:rFonts w:ascii="Calibri" w:hAnsi="Calibri" w:cs="Calibri"/>
              </w:rPr>
              <w:t xml:space="preserve"> </w:t>
            </w:r>
            <w:r w:rsidRPr="00715C9F">
              <w:rPr>
                <w:rFonts w:ascii="Calibri" w:hAnsi="Calibri" w:cs="Calibri"/>
              </w:rPr>
              <w:t xml:space="preserve">Public Protection </w:t>
            </w:r>
            <w:r>
              <w:rPr>
                <w:rFonts w:ascii="Calibri" w:hAnsi="Calibri" w:cs="Calibri"/>
              </w:rPr>
              <w:t>r</w:t>
            </w:r>
            <w:r w:rsidRPr="00715C9F">
              <w:rPr>
                <w:rFonts w:ascii="Calibri" w:hAnsi="Calibri" w:cs="Calibri"/>
              </w:rPr>
              <w:t xml:space="preserve">equests and </w:t>
            </w:r>
            <w:r>
              <w:rPr>
                <w:rFonts w:ascii="Calibri" w:hAnsi="Calibri" w:cs="Calibri"/>
              </w:rPr>
              <w:t xml:space="preserve">actions progressed including child and adult safeguarding </w:t>
            </w:r>
          </w:p>
        </w:tc>
        <w:tc>
          <w:tcPr>
            <w:tcW w:w="1156" w:type="dxa"/>
            <w:tcBorders>
              <w:bottom w:val="single" w:sz="4" w:space="0" w:color="auto"/>
            </w:tcBorders>
            <w:shd w:val="clear" w:color="auto" w:fill="BA89CD"/>
          </w:tcPr>
          <w:p w14:paraId="6774AC74" w14:textId="77777777" w:rsidR="004A4BAA" w:rsidRPr="00C466E1" w:rsidRDefault="004A4BAA" w:rsidP="00C466E1">
            <w:pPr>
              <w:jc w:val="center"/>
              <w:rPr>
                <w:b/>
              </w:rPr>
            </w:pPr>
            <w:r w:rsidRPr="00C466E1">
              <w:rPr>
                <w:b/>
              </w:rPr>
              <w:t>3</w:t>
            </w:r>
          </w:p>
        </w:tc>
        <w:tc>
          <w:tcPr>
            <w:tcW w:w="1796" w:type="dxa"/>
            <w:tcBorders>
              <w:bottom w:val="single" w:sz="4" w:space="0" w:color="auto"/>
            </w:tcBorders>
            <w:shd w:val="clear" w:color="auto" w:fill="BA89CD"/>
          </w:tcPr>
          <w:p w14:paraId="0208BC68" w14:textId="77777777" w:rsidR="004A4BAA" w:rsidRDefault="004A4BAA" w:rsidP="00D23BC9">
            <w:pPr>
              <w:jc w:val="center"/>
              <w:rPr>
                <w:b/>
              </w:rPr>
            </w:pPr>
            <w:r>
              <w:rPr>
                <w:b/>
              </w:rPr>
              <w:t>Limited</w:t>
            </w:r>
          </w:p>
        </w:tc>
        <w:tc>
          <w:tcPr>
            <w:tcW w:w="4227" w:type="dxa"/>
            <w:tcBorders>
              <w:bottom w:val="single" w:sz="4" w:space="0" w:color="auto"/>
            </w:tcBorders>
            <w:shd w:val="clear" w:color="auto" w:fill="BA89CD"/>
          </w:tcPr>
          <w:p w14:paraId="2430823A" w14:textId="77777777" w:rsidR="004A4BAA" w:rsidRDefault="00423E94" w:rsidP="00D23BC9">
            <w:r>
              <w:t xml:space="preserve">OMIC Adult </w:t>
            </w:r>
            <w:proofErr w:type="gramStart"/>
            <w:r>
              <w:t>safeguarding</w:t>
            </w:r>
            <w:proofErr w:type="gramEnd"/>
            <w:r>
              <w:t xml:space="preserve"> Guidance</w:t>
            </w:r>
            <w:r w:rsidR="00C447AD">
              <w:t xml:space="preserve"> (England and Wales)</w:t>
            </w:r>
          </w:p>
          <w:p w14:paraId="7400B77F" w14:textId="77777777" w:rsidR="004F7F86" w:rsidRDefault="004F7F86" w:rsidP="00D23BC9"/>
          <w:p w14:paraId="5A8C7E78" w14:textId="77777777" w:rsidR="00C447AD" w:rsidRDefault="00C447AD" w:rsidP="00D23BC9">
            <w:r>
              <w:t>OMIC Child Safeguarding Guidance and Referral Checklist.</w:t>
            </w:r>
          </w:p>
          <w:p w14:paraId="5ADC9AD5" w14:textId="77777777" w:rsidR="004F7F86" w:rsidRDefault="004F7F86" w:rsidP="00D23BC9"/>
          <w:p w14:paraId="5C2CC407" w14:textId="77777777" w:rsidR="00F550F7" w:rsidRPr="004F7F86" w:rsidRDefault="002F671C" w:rsidP="004F7F86">
            <w:pPr>
              <w:jc w:val="both"/>
              <w:rPr>
                <w:b/>
                <w:u w:val="single"/>
              </w:rPr>
            </w:pPr>
            <w:hyperlink r:id="rId18" w:history="1">
              <w:r w:rsidR="00F550F7" w:rsidRPr="004F7F86">
                <w:rPr>
                  <w:rStyle w:val="Hyperlink"/>
                  <w:b/>
                </w:rPr>
                <w:t>Public Protection</w:t>
              </w:r>
            </w:hyperlink>
          </w:p>
          <w:p w14:paraId="3C693AE7" w14:textId="77777777" w:rsidR="00F550F7" w:rsidRPr="00CF79F3" w:rsidRDefault="00F550F7" w:rsidP="00D23BC9"/>
        </w:tc>
      </w:tr>
      <w:tr w:rsidR="004A4BAA" w14:paraId="71F6A076" w14:textId="77777777" w:rsidTr="001146E4">
        <w:trPr>
          <w:trHeight w:val="459"/>
        </w:trPr>
        <w:tc>
          <w:tcPr>
            <w:tcW w:w="1779" w:type="dxa"/>
            <w:vMerge/>
            <w:shd w:val="clear" w:color="auto" w:fill="BA89CD"/>
          </w:tcPr>
          <w:p w14:paraId="6952225D" w14:textId="77777777" w:rsidR="004A4BAA" w:rsidRDefault="004A4BAA" w:rsidP="00D23BC9">
            <w:pPr>
              <w:jc w:val="both"/>
              <w:rPr>
                <w:b/>
              </w:rPr>
            </w:pPr>
          </w:p>
        </w:tc>
        <w:tc>
          <w:tcPr>
            <w:tcW w:w="5279" w:type="dxa"/>
            <w:tcBorders>
              <w:bottom w:val="single" w:sz="4" w:space="0" w:color="auto"/>
            </w:tcBorders>
            <w:shd w:val="clear" w:color="auto" w:fill="BA89CD"/>
          </w:tcPr>
          <w:p w14:paraId="0EFD4785" w14:textId="77777777" w:rsidR="004A4BAA" w:rsidRPr="0075300D" w:rsidRDefault="004A4BAA" w:rsidP="00D23BC9">
            <w:r>
              <w:rPr>
                <w:b/>
              </w:rPr>
              <w:t xml:space="preserve">2.2 </w:t>
            </w:r>
            <w:r>
              <w:rPr>
                <w:rFonts w:ascii="Calibri" w:hAnsi="Calibri" w:cs="Calibri"/>
              </w:rPr>
              <w:t>Inter-departmental Risk Management Team meetings</w:t>
            </w:r>
          </w:p>
        </w:tc>
        <w:tc>
          <w:tcPr>
            <w:tcW w:w="1156" w:type="dxa"/>
            <w:tcBorders>
              <w:bottom w:val="single" w:sz="4" w:space="0" w:color="auto"/>
            </w:tcBorders>
            <w:shd w:val="clear" w:color="auto" w:fill="BA89CD"/>
          </w:tcPr>
          <w:p w14:paraId="25AD64DA" w14:textId="77777777" w:rsidR="004A4BAA" w:rsidRPr="00C466E1" w:rsidRDefault="004A4BAA" w:rsidP="00C466E1">
            <w:pPr>
              <w:jc w:val="center"/>
              <w:rPr>
                <w:b/>
              </w:rPr>
            </w:pPr>
            <w:r w:rsidRPr="00C466E1">
              <w:rPr>
                <w:b/>
              </w:rPr>
              <w:t>3</w:t>
            </w:r>
          </w:p>
        </w:tc>
        <w:tc>
          <w:tcPr>
            <w:tcW w:w="1796" w:type="dxa"/>
            <w:tcBorders>
              <w:bottom w:val="single" w:sz="4" w:space="0" w:color="auto"/>
            </w:tcBorders>
            <w:shd w:val="clear" w:color="auto" w:fill="BA89CD"/>
          </w:tcPr>
          <w:p w14:paraId="0802C721" w14:textId="77777777" w:rsidR="004A4BAA" w:rsidRDefault="004A4BAA" w:rsidP="00D23BC9">
            <w:pPr>
              <w:jc w:val="center"/>
              <w:rPr>
                <w:b/>
              </w:rPr>
            </w:pPr>
            <w:r>
              <w:rPr>
                <w:b/>
              </w:rPr>
              <w:t>Limited</w:t>
            </w:r>
          </w:p>
        </w:tc>
        <w:tc>
          <w:tcPr>
            <w:tcW w:w="4227" w:type="dxa"/>
            <w:tcBorders>
              <w:bottom w:val="single" w:sz="4" w:space="0" w:color="auto"/>
            </w:tcBorders>
            <w:shd w:val="clear" w:color="auto" w:fill="BA89CD"/>
          </w:tcPr>
          <w:p w14:paraId="6D9DFED9" w14:textId="77777777" w:rsidR="00107323" w:rsidRPr="004F7F86" w:rsidRDefault="002F671C" w:rsidP="00107323">
            <w:pPr>
              <w:jc w:val="both"/>
              <w:rPr>
                <w:b/>
                <w:u w:val="single"/>
              </w:rPr>
            </w:pPr>
            <w:hyperlink r:id="rId19" w:history="1">
              <w:r w:rsidR="00107323" w:rsidRPr="004F7F86">
                <w:rPr>
                  <w:rStyle w:val="Hyperlink"/>
                  <w:b/>
                </w:rPr>
                <w:t>Public Protection</w:t>
              </w:r>
            </w:hyperlink>
          </w:p>
          <w:p w14:paraId="6146BE12" w14:textId="77777777" w:rsidR="004A4BAA" w:rsidRPr="00CF79F3" w:rsidRDefault="004A4BAA" w:rsidP="00D23BC9"/>
        </w:tc>
      </w:tr>
      <w:tr w:rsidR="004A4BAA" w14:paraId="3E8B44B0" w14:textId="77777777" w:rsidTr="001146E4">
        <w:tc>
          <w:tcPr>
            <w:tcW w:w="1779" w:type="dxa"/>
            <w:vMerge/>
            <w:shd w:val="clear" w:color="auto" w:fill="BA89CD"/>
          </w:tcPr>
          <w:p w14:paraId="1D76CC99" w14:textId="77777777" w:rsidR="004A4BAA" w:rsidRDefault="004A4BAA" w:rsidP="00D23BC9">
            <w:pPr>
              <w:jc w:val="both"/>
              <w:rPr>
                <w:b/>
              </w:rPr>
            </w:pPr>
          </w:p>
        </w:tc>
        <w:tc>
          <w:tcPr>
            <w:tcW w:w="5279" w:type="dxa"/>
            <w:tcBorders>
              <w:bottom w:val="single" w:sz="4" w:space="0" w:color="auto"/>
            </w:tcBorders>
            <w:shd w:val="clear" w:color="auto" w:fill="BA89CD"/>
          </w:tcPr>
          <w:p w14:paraId="7193DBA0" w14:textId="77777777" w:rsidR="004A4BAA" w:rsidRDefault="004A4BAA" w:rsidP="00D23BC9">
            <w:pPr>
              <w:jc w:val="both"/>
              <w:rPr>
                <w:b/>
              </w:rPr>
            </w:pPr>
            <w:r>
              <w:rPr>
                <w:b/>
              </w:rPr>
              <w:t xml:space="preserve">2.3 </w:t>
            </w:r>
            <w:r w:rsidRPr="00F37C19">
              <w:t>Contact with Victim Liaison Officer at key stages of sentence</w:t>
            </w:r>
          </w:p>
        </w:tc>
        <w:tc>
          <w:tcPr>
            <w:tcW w:w="1156" w:type="dxa"/>
            <w:tcBorders>
              <w:bottom w:val="single" w:sz="4" w:space="0" w:color="auto"/>
            </w:tcBorders>
            <w:shd w:val="clear" w:color="auto" w:fill="BA89CD"/>
          </w:tcPr>
          <w:p w14:paraId="505D855B" w14:textId="77777777" w:rsidR="004A4BAA" w:rsidRPr="00C466E1" w:rsidRDefault="004A4BAA" w:rsidP="00C466E1">
            <w:pPr>
              <w:jc w:val="center"/>
              <w:rPr>
                <w:b/>
              </w:rPr>
            </w:pPr>
            <w:r w:rsidRPr="00C466E1">
              <w:rPr>
                <w:b/>
              </w:rPr>
              <w:t>3</w:t>
            </w:r>
          </w:p>
        </w:tc>
        <w:tc>
          <w:tcPr>
            <w:tcW w:w="1796" w:type="dxa"/>
            <w:tcBorders>
              <w:bottom w:val="single" w:sz="4" w:space="0" w:color="auto"/>
            </w:tcBorders>
            <w:shd w:val="clear" w:color="auto" w:fill="BA89CD"/>
          </w:tcPr>
          <w:p w14:paraId="2ED1D431" w14:textId="77777777" w:rsidR="004A4BAA" w:rsidRDefault="004A4BAA" w:rsidP="00D23BC9">
            <w:pPr>
              <w:jc w:val="center"/>
              <w:rPr>
                <w:b/>
              </w:rPr>
            </w:pPr>
            <w:r>
              <w:rPr>
                <w:b/>
              </w:rPr>
              <w:t>Limited</w:t>
            </w:r>
          </w:p>
        </w:tc>
        <w:tc>
          <w:tcPr>
            <w:tcW w:w="4227" w:type="dxa"/>
            <w:tcBorders>
              <w:bottom w:val="single" w:sz="4" w:space="0" w:color="auto"/>
            </w:tcBorders>
            <w:shd w:val="clear" w:color="auto" w:fill="BA89CD"/>
          </w:tcPr>
          <w:p w14:paraId="42C6375D" w14:textId="77777777" w:rsidR="004A4BAA" w:rsidRDefault="009F7C72" w:rsidP="00D23BC9">
            <w:r>
              <w:t>OMIC Managing cases registered with the Victim Contact Scheme</w:t>
            </w:r>
          </w:p>
          <w:p w14:paraId="4946C346" w14:textId="77777777" w:rsidR="00107323" w:rsidRDefault="00107323" w:rsidP="00D23BC9"/>
          <w:p w14:paraId="3ABE4220" w14:textId="77777777" w:rsidR="001451E9" w:rsidRDefault="001451E9" w:rsidP="00D23BC9">
            <w:r>
              <w:t>Handling Sensitive Information</w:t>
            </w:r>
          </w:p>
          <w:p w14:paraId="2FFB9C78" w14:textId="77777777" w:rsidR="006E6C8F" w:rsidRDefault="006E6C8F" w:rsidP="00D23BC9"/>
          <w:p w14:paraId="62AE6F13" w14:textId="77777777" w:rsidR="001451E9" w:rsidRDefault="001451E9" w:rsidP="00D23BC9">
            <w:r>
              <w:t>OMIC Victim Contact Scheme Briefing</w:t>
            </w:r>
          </w:p>
          <w:p w14:paraId="58E810AE" w14:textId="77777777" w:rsidR="006E6C8F" w:rsidRDefault="006E6C8F" w:rsidP="00D23BC9"/>
          <w:p w14:paraId="59D4C8D0" w14:textId="77777777" w:rsidR="006E6C8F" w:rsidRPr="006E6C8F" w:rsidRDefault="002F671C" w:rsidP="006E6C8F">
            <w:pPr>
              <w:jc w:val="both"/>
              <w:rPr>
                <w:b/>
                <w:u w:val="single"/>
              </w:rPr>
            </w:pPr>
            <w:hyperlink r:id="rId20" w:history="1">
              <w:r w:rsidR="006E6C8F" w:rsidRPr="006E6C8F">
                <w:rPr>
                  <w:rStyle w:val="Hyperlink"/>
                  <w:b/>
                </w:rPr>
                <w:t>Victims</w:t>
              </w:r>
            </w:hyperlink>
          </w:p>
          <w:p w14:paraId="5328B917" w14:textId="77777777" w:rsidR="006E6C8F" w:rsidRDefault="006E6C8F" w:rsidP="00D23BC9"/>
          <w:p w14:paraId="5C5185EA" w14:textId="77777777" w:rsidR="006E6C8F" w:rsidRPr="00CF79F3" w:rsidRDefault="006E6C8F" w:rsidP="00D23BC9"/>
        </w:tc>
      </w:tr>
      <w:tr w:rsidR="004A4BAA" w14:paraId="21B973E5" w14:textId="77777777" w:rsidTr="001146E4">
        <w:tc>
          <w:tcPr>
            <w:tcW w:w="1779" w:type="dxa"/>
            <w:vMerge/>
            <w:shd w:val="clear" w:color="auto" w:fill="BA89CD"/>
          </w:tcPr>
          <w:p w14:paraId="7FD6F63D" w14:textId="77777777" w:rsidR="004A4BAA" w:rsidRDefault="004A4BAA" w:rsidP="00D23BC9">
            <w:pPr>
              <w:jc w:val="both"/>
              <w:rPr>
                <w:b/>
              </w:rPr>
            </w:pPr>
          </w:p>
        </w:tc>
        <w:tc>
          <w:tcPr>
            <w:tcW w:w="5279" w:type="dxa"/>
            <w:tcBorders>
              <w:bottom w:val="single" w:sz="4" w:space="0" w:color="auto"/>
            </w:tcBorders>
            <w:shd w:val="clear" w:color="auto" w:fill="BA89CD"/>
          </w:tcPr>
          <w:p w14:paraId="74B18E59" w14:textId="73032C1A" w:rsidR="004A4BAA" w:rsidRDefault="004A4BAA" w:rsidP="004C3F06">
            <w:pPr>
              <w:rPr>
                <w:rFonts w:ascii="Calibri" w:hAnsi="Calibri" w:cs="Calibri"/>
              </w:rPr>
            </w:pPr>
            <w:r>
              <w:rPr>
                <w:rFonts w:ascii="Calibri" w:hAnsi="Calibri" w:cs="Calibri"/>
                <w:b/>
              </w:rPr>
              <w:t xml:space="preserve">2.4 </w:t>
            </w:r>
            <w:r w:rsidRPr="00715C9F">
              <w:rPr>
                <w:rFonts w:ascii="Calibri" w:hAnsi="Calibri" w:cs="Calibri"/>
              </w:rPr>
              <w:t>OASys assessments</w:t>
            </w:r>
            <w:r>
              <w:rPr>
                <w:rFonts w:ascii="Calibri" w:hAnsi="Calibri" w:cs="Calibri"/>
              </w:rPr>
              <w:t xml:space="preserve"> and sentence planning, including the backlog but the following assessments should be prioritised: 1) Early Allocation, 2)</w:t>
            </w:r>
            <w:r w:rsidRPr="00715C9F">
              <w:rPr>
                <w:rFonts w:ascii="Calibri" w:hAnsi="Calibri" w:cs="Calibri"/>
              </w:rPr>
              <w:t xml:space="preserve"> </w:t>
            </w:r>
            <w:r>
              <w:rPr>
                <w:rFonts w:ascii="Calibri" w:hAnsi="Calibri" w:cs="Calibri"/>
              </w:rPr>
              <w:t>Pre-handover assessments 3) Move to open, 4) COVID SPL release (all</w:t>
            </w:r>
            <w:r w:rsidRPr="00715C9F">
              <w:rPr>
                <w:rFonts w:ascii="Calibri" w:hAnsi="Calibri" w:cs="Calibri"/>
              </w:rPr>
              <w:t xml:space="preserve"> enable risk management in the community to commence</w:t>
            </w:r>
            <w:r>
              <w:rPr>
                <w:rFonts w:ascii="Calibri" w:hAnsi="Calibri" w:cs="Calibri"/>
              </w:rPr>
              <w:t xml:space="preserve"> and to undertake ROTL in the open estate)</w:t>
            </w:r>
            <w:r w:rsidR="001146E4">
              <w:rPr>
                <w:rFonts w:ascii="Calibri" w:hAnsi="Calibri" w:cs="Calibri"/>
              </w:rPr>
              <w:t xml:space="preserve"> 5) Youth to Adult transitions </w:t>
            </w:r>
          </w:p>
          <w:p w14:paraId="5AAEE6D7" w14:textId="77777777" w:rsidR="004A4BAA" w:rsidRPr="00715C9F" w:rsidRDefault="004A4BAA" w:rsidP="004C3F06">
            <w:pPr>
              <w:rPr>
                <w:rFonts w:ascii="Calibri" w:hAnsi="Calibri" w:cs="Calibri"/>
              </w:rPr>
            </w:pPr>
          </w:p>
          <w:p w14:paraId="6B8E6FC0" w14:textId="77777777" w:rsidR="004A4BAA" w:rsidRDefault="004A4BAA" w:rsidP="00D23BC9">
            <w:pPr>
              <w:jc w:val="both"/>
              <w:rPr>
                <w:rFonts w:ascii="Calibri" w:hAnsi="Calibri" w:cs="Calibri"/>
              </w:rPr>
            </w:pPr>
            <w:r w:rsidRPr="00715C9F">
              <w:rPr>
                <w:rFonts w:ascii="Calibri" w:hAnsi="Calibri" w:cs="Calibri"/>
              </w:rPr>
              <w:t>Other prioritisation decisions are to be based on the risk of serious harm presented by the prisoner</w:t>
            </w:r>
            <w:r>
              <w:rPr>
                <w:rFonts w:ascii="Calibri" w:hAnsi="Calibri" w:cs="Calibri"/>
              </w:rPr>
              <w:t xml:space="preserve"> and </w:t>
            </w:r>
            <w:r w:rsidRPr="00715C9F">
              <w:rPr>
                <w:rFonts w:ascii="Calibri" w:hAnsi="Calibri" w:cs="Calibri"/>
              </w:rPr>
              <w:t>stage of imprisonment</w:t>
            </w:r>
            <w:r w:rsidR="0004344B">
              <w:rPr>
                <w:rFonts w:ascii="Calibri" w:hAnsi="Calibri" w:cs="Calibri"/>
              </w:rPr>
              <w:t>.</w:t>
            </w:r>
          </w:p>
          <w:p w14:paraId="176FC575" w14:textId="77777777" w:rsidR="00B378C1" w:rsidRDefault="00B378C1" w:rsidP="00D23BC9">
            <w:pPr>
              <w:jc w:val="both"/>
            </w:pPr>
          </w:p>
          <w:p w14:paraId="02DA9F59" w14:textId="497E514C" w:rsidR="00B378C1" w:rsidRPr="002114FB" w:rsidRDefault="00B378C1" w:rsidP="00D23BC9">
            <w:pPr>
              <w:jc w:val="both"/>
            </w:pPr>
            <w:r>
              <w:t xml:space="preserve">Restricted regimes can offer an opportunity to </w:t>
            </w:r>
            <w:r w:rsidR="00907078">
              <w:t>reduce</w:t>
            </w:r>
            <w:r w:rsidR="00254354">
              <w:t xml:space="preserve"> the OASys backlog where other tasks</w:t>
            </w:r>
            <w:r w:rsidR="00EC1FE8">
              <w:t>/activities</w:t>
            </w:r>
            <w:r w:rsidR="00254354">
              <w:t xml:space="preserve"> cannot be</w:t>
            </w:r>
            <w:r w:rsidR="00EC0974">
              <w:t xml:space="preserve"> complete</w:t>
            </w:r>
            <w:r w:rsidR="00907078">
              <w:t>d</w:t>
            </w:r>
            <w:r w:rsidR="00EC1FE8">
              <w:t>.</w:t>
            </w:r>
          </w:p>
        </w:tc>
        <w:tc>
          <w:tcPr>
            <w:tcW w:w="1156" w:type="dxa"/>
            <w:tcBorders>
              <w:bottom w:val="single" w:sz="4" w:space="0" w:color="auto"/>
            </w:tcBorders>
            <w:shd w:val="clear" w:color="auto" w:fill="BA89CD"/>
          </w:tcPr>
          <w:p w14:paraId="181FD9A0" w14:textId="77777777" w:rsidR="004A4BAA" w:rsidRPr="00C466E1" w:rsidRDefault="004A4BAA" w:rsidP="00C466E1">
            <w:pPr>
              <w:jc w:val="center"/>
              <w:rPr>
                <w:b/>
              </w:rPr>
            </w:pPr>
            <w:r>
              <w:rPr>
                <w:b/>
              </w:rPr>
              <w:t>3</w:t>
            </w:r>
          </w:p>
        </w:tc>
        <w:tc>
          <w:tcPr>
            <w:tcW w:w="1796" w:type="dxa"/>
            <w:tcBorders>
              <w:bottom w:val="single" w:sz="4" w:space="0" w:color="auto"/>
            </w:tcBorders>
            <w:shd w:val="clear" w:color="auto" w:fill="BA89CD"/>
          </w:tcPr>
          <w:p w14:paraId="18EC7CC3" w14:textId="77777777" w:rsidR="004A4BAA" w:rsidRDefault="004A4BAA" w:rsidP="00D23BC9">
            <w:pPr>
              <w:jc w:val="center"/>
              <w:rPr>
                <w:b/>
              </w:rPr>
            </w:pPr>
            <w:r>
              <w:rPr>
                <w:b/>
              </w:rPr>
              <w:t>Partial</w:t>
            </w:r>
          </w:p>
        </w:tc>
        <w:tc>
          <w:tcPr>
            <w:tcW w:w="4227" w:type="dxa"/>
            <w:tcBorders>
              <w:bottom w:val="single" w:sz="4" w:space="0" w:color="auto"/>
            </w:tcBorders>
            <w:shd w:val="clear" w:color="auto" w:fill="BA89CD"/>
          </w:tcPr>
          <w:p w14:paraId="437B00B5" w14:textId="77777777" w:rsidR="004A4BAA" w:rsidRDefault="00F30D16" w:rsidP="00D23BC9">
            <w:r>
              <w:t>Case Management Toolkit on</w:t>
            </w:r>
            <w:r w:rsidR="00BC50D7">
              <w:t xml:space="preserve"> </w:t>
            </w:r>
            <w:proofErr w:type="spellStart"/>
            <w:r w:rsidR="00BC50D7">
              <w:t>OMiC</w:t>
            </w:r>
            <w:proofErr w:type="spellEnd"/>
            <w:r>
              <w:t xml:space="preserve"> </w:t>
            </w:r>
            <w:proofErr w:type="spellStart"/>
            <w:r>
              <w:t>EQuiP</w:t>
            </w:r>
            <w:proofErr w:type="spellEnd"/>
            <w:r>
              <w:t xml:space="preserve"> </w:t>
            </w:r>
            <w:r w:rsidR="00280ACB">
              <w:t>has a range of OASys Guidance documents, including new ROSH Guidance, RMP and ARMS informed OASys changes due to take place in late June.</w:t>
            </w:r>
          </w:p>
          <w:p w14:paraId="60D6FE9D" w14:textId="77777777" w:rsidR="008904CD" w:rsidRDefault="008904CD" w:rsidP="00D23BC9"/>
          <w:p w14:paraId="32F2A53A" w14:textId="77777777" w:rsidR="008904CD" w:rsidRPr="00CF79F3" w:rsidRDefault="002F671C" w:rsidP="00D23BC9">
            <w:hyperlink r:id="rId21" w:history="1">
              <w:r w:rsidR="008904CD">
                <w:rPr>
                  <w:rStyle w:val="Hyperlink"/>
                  <w:b/>
                </w:rPr>
                <w:t>OASys</w:t>
              </w:r>
            </w:hyperlink>
          </w:p>
        </w:tc>
      </w:tr>
      <w:tr w:rsidR="004A4BAA" w14:paraId="466568D1" w14:textId="77777777" w:rsidTr="001146E4">
        <w:tc>
          <w:tcPr>
            <w:tcW w:w="1779" w:type="dxa"/>
            <w:vMerge/>
            <w:shd w:val="clear" w:color="auto" w:fill="BA89CD"/>
          </w:tcPr>
          <w:p w14:paraId="629FD927" w14:textId="77777777" w:rsidR="004A4BAA" w:rsidRDefault="004A4BAA" w:rsidP="00D23BC9">
            <w:pPr>
              <w:jc w:val="both"/>
              <w:rPr>
                <w:b/>
              </w:rPr>
            </w:pPr>
          </w:p>
        </w:tc>
        <w:tc>
          <w:tcPr>
            <w:tcW w:w="5279" w:type="dxa"/>
            <w:tcBorders>
              <w:bottom w:val="single" w:sz="4" w:space="0" w:color="auto"/>
            </w:tcBorders>
            <w:shd w:val="clear" w:color="auto" w:fill="BA89CD"/>
          </w:tcPr>
          <w:p w14:paraId="295A9984" w14:textId="77777777" w:rsidR="004A4BAA" w:rsidRPr="006928BB" w:rsidRDefault="004A4BAA" w:rsidP="00D23BC9">
            <w:r>
              <w:rPr>
                <w:rFonts w:cstheme="minorHAnsi"/>
                <w:b/>
              </w:rPr>
              <w:t xml:space="preserve">2.5 </w:t>
            </w:r>
            <w:r>
              <w:rPr>
                <w:rFonts w:cstheme="minorHAnsi"/>
              </w:rPr>
              <w:t>S</w:t>
            </w:r>
            <w:r w:rsidRPr="00163148">
              <w:rPr>
                <w:rFonts w:cstheme="minorHAnsi"/>
              </w:rPr>
              <w:t xml:space="preserve">upervision </w:t>
            </w:r>
            <w:r>
              <w:rPr>
                <w:rFonts w:cstheme="minorHAnsi"/>
              </w:rPr>
              <w:t xml:space="preserve">should be reinstated where it is safe and appropriate to do so. Should social distancing and/or alternative technology to deliver be unavailable, a duty POM system should be set up to ensure support is offered to priority and other vulnerable groups. </w:t>
            </w:r>
          </w:p>
        </w:tc>
        <w:tc>
          <w:tcPr>
            <w:tcW w:w="1156" w:type="dxa"/>
            <w:shd w:val="clear" w:color="auto" w:fill="BA89CD"/>
          </w:tcPr>
          <w:p w14:paraId="13C02975" w14:textId="77777777" w:rsidR="004A4BAA" w:rsidRPr="00C466E1" w:rsidRDefault="004A4BAA" w:rsidP="00C466E1">
            <w:pPr>
              <w:jc w:val="center"/>
              <w:rPr>
                <w:b/>
              </w:rPr>
            </w:pPr>
            <w:r w:rsidRPr="00C466E1">
              <w:rPr>
                <w:b/>
              </w:rPr>
              <w:t>2</w:t>
            </w:r>
          </w:p>
        </w:tc>
        <w:tc>
          <w:tcPr>
            <w:tcW w:w="1796" w:type="dxa"/>
            <w:shd w:val="clear" w:color="auto" w:fill="BA89CD"/>
          </w:tcPr>
          <w:p w14:paraId="4E033270" w14:textId="77777777" w:rsidR="004A4BAA" w:rsidRDefault="004A4BAA" w:rsidP="00D23BC9">
            <w:pPr>
              <w:jc w:val="center"/>
              <w:rPr>
                <w:b/>
              </w:rPr>
            </w:pPr>
            <w:r>
              <w:rPr>
                <w:b/>
              </w:rPr>
              <w:t>Partial</w:t>
            </w:r>
          </w:p>
        </w:tc>
        <w:tc>
          <w:tcPr>
            <w:tcW w:w="4227" w:type="dxa"/>
            <w:shd w:val="clear" w:color="auto" w:fill="BA89CD"/>
          </w:tcPr>
          <w:p w14:paraId="6BB2D0B8" w14:textId="77777777" w:rsidR="004A4BAA" w:rsidRDefault="006E1404" w:rsidP="00D23BC9">
            <w:proofErr w:type="spellStart"/>
            <w:r>
              <w:t>OMiC</w:t>
            </w:r>
            <w:proofErr w:type="spellEnd"/>
            <w:r>
              <w:t xml:space="preserve"> Supervision Guidance and Supervision Checklist</w:t>
            </w:r>
          </w:p>
          <w:p w14:paraId="45FE2179" w14:textId="77777777" w:rsidR="009E0F99" w:rsidRDefault="009E0F99" w:rsidP="00D23BC9"/>
          <w:p w14:paraId="4156F7E6" w14:textId="77777777" w:rsidR="009E0F99" w:rsidRPr="009E0F99" w:rsidRDefault="002F671C" w:rsidP="009E0F99">
            <w:pPr>
              <w:jc w:val="both"/>
              <w:rPr>
                <w:b/>
                <w:u w:val="single"/>
              </w:rPr>
            </w:pPr>
            <w:hyperlink r:id="rId22" w:history="1">
              <w:r w:rsidR="009E0F99" w:rsidRPr="009E0F99">
                <w:rPr>
                  <w:rStyle w:val="Hyperlink"/>
                  <w:b/>
                </w:rPr>
                <w:t>Supervision</w:t>
              </w:r>
            </w:hyperlink>
          </w:p>
          <w:p w14:paraId="4070FD55" w14:textId="77777777" w:rsidR="009E0F99" w:rsidRDefault="009E0F99" w:rsidP="00D23BC9"/>
          <w:p w14:paraId="49B38A5C" w14:textId="77777777" w:rsidR="009E0F99" w:rsidRDefault="009E0F99" w:rsidP="00D23BC9"/>
          <w:p w14:paraId="07CFB528" w14:textId="77777777" w:rsidR="009E0F99" w:rsidRPr="00CF79F3" w:rsidRDefault="009E0F99" w:rsidP="00D23BC9"/>
        </w:tc>
      </w:tr>
      <w:tr w:rsidR="004A4BAA" w14:paraId="68606C24" w14:textId="77777777" w:rsidTr="001146E4">
        <w:trPr>
          <w:trHeight w:val="983"/>
        </w:trPr>
        <w:tc>
          <w:tcPr>
            <w:tcW w:w="1779" w:type="dxa"/>
            <w:vMerge/>
            <w:shd w:val="clear" w:color="auto" w:fill="BA89CD"/>
          </w:tcPr>
          <w:p w14:paraId="3B72F6FD" w14:textId="77777777" w:rsidR="004A4BAA" w:rsidRDefault="004A4BAA" w:rsidP="00435AC2">
            <w:pPr>
              <w:rPr>
                <w:b/>
              </w:rPr>
            </w:pPr>
          </w:p>
        </w:tc>
        <w:tc>
          <w:tcPr>
            <w:tcW w:w="5279" w:type="dxa"/>
            <w:tcBorders>
              <w:bottom w:val="single" w:sz="4" w:space="0" w:color="auto"/>
            </w:tcBorders>
            <w:shd w:val="clear" w:color="auto" w:fill="BA89CD"/>
          </w:tcPr>
          <w:p w14:paraId="447A1250" w14:textId="514A1F1C" w:rsidR="004A4BAA" w:rsidRPr="000A59FC" w:rsidRDefault="004A4BAA" w:rsidP="005151FA">
            <w:pPr>
              <w:rPr>
                <w:rFonts w:ascii="Calibri" w:hAnsi="Calibri" w:cs="Calibri"/>
              </w:rPr>
            </w:pPr>
            <w:r>
              <w:rPr>
                <w:rFonts w:ascii="Calibri" w:hAnsi="Calibri" w:cs="Calibri"/>
                <w:b/>
              </w:rPr>
              <w:t xml:space="preserve">2.6 </w:t>
            </w:r>
            <w:r w:rsidRPr="000A59FC">
              <w:rPr>
                <w:rFonts w:ascii="Calibri" w:hAnsi="Calibri" w:cs="Calibri"/>
              </w:rPr>
              <w:t>Re-Categorisation</w:t>
            </w:r>
            <w:r>
              <w:rPr>
                <w:rFonts w:ascii="Calibri" w:hAnsi="Calibri" w:cs="Calibri"/>
              </w:rPr>
              <w:t xml:space="preserve"> - </w:t>
            </w:r>
            <w:r w:rsidRPr="000A59FC">
              <w:rPr>
                <w:rFonts w:ascii="Calibri" w:hAnsi="Calibri" w:cs="Calibri"/>
              </w:rPr>
              <w:t xml:space="preserve">Where it is not possible to interview a prisoner, POM’s to utilise existing information in OASys assessments along with additional information from quantum systems to support </w:t>
            </w:r>
            <w:proofErr w:type="spellStart"/>
            <w:r w:rsidRPr="000A59FC">
              <w:rPr>
                <w:rFonts w:ascii="Calibri" w:hAnsi="Calibri" w:cs="Calibri"/>
              </w:rPr>
              <w:t>recategorisation</w:t>
            </w:r>
            <w:proofErr w:type="spellEnd"/>
            <w:r w:rsidRPr="000A59FC">
              <w:rPr>
                <w:rFonts w:ascii="Calibri" w:hAnsi="Calibri" w:cs="Calibri"/>
              </w:rPr>
              <w:t xml:space="preserve"> decisions</w:t>
            </w:r>
            <w:r w:rsidR="00F42569">
              <w:rPr>
                <w:rFonts w:ascii="Calibri" w:hAnsi="Calibri" w:cs="Calibri"/>
              </w:rPr>
              <w:t xml:space="preserve"> and/or use alternative technology</w:t>
            </w:r>
            <w:r w:rsidR="001146E4">
              <w:rPr>
                <w:rFonts w:ascii="Calibri" w:hAnsi="Calibri" w:cs="Calibri"/>
              </w:rPr>
              <w:t>.</w:t>
            </w:r>
            <w:r w:rsidR="007D0216">
              <w:rPr>
                <w:rFonts w:ascii="Calibri" w:hAnsi="Calibri" w:cs="Calibri"/>
              </w:rPr>
              <w:t xml:space="preserve"> Decision</w:t>
            </w:r>
            <w:r w:rsidR="002D16BF">
              <w:rPr>
                <w:rFonts w:ascii="Calibri" w:hAnsi="Calibri" w:cs="Calibri"/>
              </w:rPr>
              <w:t>s</w:t>
            </w:r>
            <w:r w:rsidR="007D0216">
              <w:rPr>
                <w:rFonts w:ascii="Calibri" w:hAnsi="Calibri" w:cs="Calibri"/>
              </w:rPr>
              <w:t xml:space="preserve"> to be fed back to prisoners using method agreed locally by the SMT.</w:t>
            </w:r>
          </w:p>
          <w:p w14:paraId="1A1D6F11" w14:textId="77777777" w:rsidR="004A4BAA" w:rsidRDefault="004A4BAA" w:rsidP="005151FA">
            <w:pPr>
              <w:rPr>
                <w:rFonts w:ascii="Calibri" w:hAnsi="Calibri" w:cs="Calibri"/>
              </w:rPr>
            </w:pPr>
          </w:p>
          <w:p w14:paraId="763A9725" w14:textId="77777777" w:rsidR="004A4BAA" w:rsidRPr="00F2044C" w:rsidRDefault="004A4BAA" w:rsidP="009E0F99">
            <w:r w:rsidRPr="00E06F90">
              <w:rPr>
                <w:rFonts w:ascii="Calibri" w:hAnsi="Calibri" w:cs="Calibri"/>
              </w:rPr>
              <w:t>Any transfer to open condition</w:t>
            </w:r>
            <w:r>
              <w:rPr>
                <w:rFonts w:ascii="Calibri" w:hAnsi="Calibri" w:cs="Calibri"/>
              </w:rPr>
              <w:t>s</w:t>
            </w:r>
            <w:r w:rsidRPr="00E06F90">
              <w:rPr>
                <w:rFonts w:ascii="Calibri" w:hAnsi="Calibri" w:cs="Calibri"/>
              </w:rPr>
              <w:t xml:space="preserve"> must be supported by a new OASys (</w:t>
            </w:r>
            <w:r>
              <w:rPr>
                <w:rFonts w:ascii="Calibri" w:hAnsi="Calibri" w:cs="Calibri"/>
              </w:rPr>
              <w:t>completed by</w:t>
            </w:r>
            <w:r w:rsidRPr="00E06F90">
              <w:rPr>
                <w:rFonts w:ascii="Calibri" w:hAnsi="Calibri" w:cs="Calibri"/>
              </w:rPr>
              <w:t xml:space="preserve"> the closed estate</w:t>
            </w:r>
            <w:r>
              <w:rPr>
                <w:rFonts w:ascii="Calibri" w:hAnsi="Calibri" w:cs="Calibri"/>
              </w:rPr>
              <w:t xml:space="preserve"> and address:  a) confirming the move has been supported b) the VLO has been contacted c) the sentence plan reflects the move to open conditions. </w:t>
            </w:r>
          </w:p>
        </w:tc>
        <w:tc>
          <w:tcPr>
            <w:tcW w:w="1156" w:type="dxa"/>
            <w:shd w:val="clear" w:color="auto" w:fill="BA89CD"/>
          </w:tcPr>
          <w:p w14:paraId="40C55A95" w14:textId="77777777" w:rsidR="004A4BAA" w:rsidRPr="00C466E1" w:rsidRDefault="004A4BAA" w:rsidP="00C466E1">
            <w:pPr>
              <w:jc w:val="center"/>
              <w:rPr>
                <w:b/>
              </w:rPr>
            </w:pPr>
            <w:r w:rsidRPr="00C466E1">
              <w:rPr>
                <w:b/>
              </w:rPr>
              <w:t>3</w:t>
            </w:r>
          </w:p>
        </w:tc>
        <w:tc>
          <w:tcPr>
            <w:tcW w:w="1796" w:type="dxa"/>
            <w:shd w:val="clear" w:color="auto" w:fill="BA89CD"/>
          </w:tcPr>
          <w:p w14:paraId="6E30CE95" w14:textId="77777777" w:rsidR="004A4BAA" w:rsidRDefault="004A4BAA" w:rsidP="00435AC2">
            <w:pPr>
              <w:jc w:val="center"/>
              <w:rPr>
                <w:b/>
              </w:rPr>
            </w:pPr>
            <w:r>
              <w:rPr>
                <w:b/>
              </w:rPr>
              <w:t>Limited</w:t>
            </w:r>
          </w:p>
        </w:tc>
        <w:tc>
          <w:tcPr>
            <w:tcW w:w="4227" w:type="dxa"/>
            <w:shd w:val="clear" w:color="auto" w:fill="BA89CD"/>
          </w:tcPr>
          <w:p w14:paraId="61721CC4" w14:textId="3E6C6E6C" w:rsidR="003A4C43" w:rsidRDefault="002F671C" w:rsidP="00C819EB">
            <w:pPr>
              <w:jc w:val="both"/>
              <w:rPr>
                <w:rStyle w:val="Hyperlink"/>
                <w:b/>
              </w:rPr>
            </w:pPr>
            <w:hyperlink r:id="rId23" w:history="1">
              <w:r w:rsidR="003A4C43" w:rsidRPr="00C819EB">
                <w:rPr>
                  <w:rStyle w:val="Hyperlink"/>
                  <w:b/>
                </w:rPr>
                <w:t xml:space="preserve">Categorisation and </w:t>
              </w:r>
              <w:proofErr w:type="spellStart"/>
              <w:r w:rsidR="003A4C43" w:rsidRPr="00C819EB">
                <w:rPr>
                  <w:rStyle w:val="Hyperlink"/>
                  <w:b/>
                </w:rPr>
                <w:t>Recategorisation</w:t>
              </w:r>
              <w:proofErr w:type="spellEnd"/>
            </w:hyperlink>
          </w:p>
          <w:p w14:paraId="60D4EAEA" w14:textId="6345105C" w:rsidR="00DA50A8" w:rsidRDefault="00DA50A8" w:rsidP="00C819EB">
            <w:pPr>
              <w:jc w:val="both"/>
              <w:rPr>
                <w:rStyle w:val="Hyperlink"/>
              </w:rPr>
            </w:pPr>
          </w:p>
          <w:p w14:paraId="0C569FA3" w14:textId="77777777" w:rsidR="00DA50A8" w:rsidRDefault="002F671C" w:rsidP="00DA50A8">
            <w:hyperlink r:id="rId24" w:history="1">
              <w:r w:rsidR="00DA50A8">
                <w:rPr>
                  <w:rStyle w:val="Hyperlink"/>
                </w:rPr>
                <w:t>Transfers</w:t>
              </w:r>
            </w:hyperlink>
          </w:p>
          <w:p w14:paraId="6B919533" w14:textId="77777777" w:rsidR="00DA50A8" w:rsidRPr="00C819EB" w:rsidRDefault="00DA50A8" w:rsidP="00C819EB">
            <w:pPr>
              <w:jc w:val="both"/>
              <w:rPr>
                <w:b/>
                <w:u w:val="single"/>
              </w:rPr>
            </w:pPr>
          </w:p>
          <w:p w14:paraId="71C6881B" w14:textId="77777777" w:rsidR="004A4BAA" w:rsidRPr="00CF79F3" w:rsidRDefault="004A4BAA" w:rsidP="003A4C43">
            <w:pPr>
              <w:jc w:val="both"/>
            </w:pPr>
          </w:p>
        </w:tc>
      </w:tr>
      <w:tr w:rsidR="004A4BAA" w14:paraId="63083A43" w14:textId="77777777" w:rsidTr="001146E4">
        <w:trPr>
          <w:trHeight w:val="1840"/>
        </w:trPr>
        <w:tc>
          <w:tcPr>
            <w:tcW w:w="1779" w:type="dxa"/>
            <w:vMerge/>
            <w:shd w:val="clear" w:color="auto" w:fill="BA89CD"/>
          </w:tcPr>
          <w:p w14:paraId="5621967D" w14:textId="77777777" w:rsidR="004A4BAA" w:rsidRDefault="004A4BAA" w:rsidP="00435AC2">
            <w:pPr>
              <w:rPr>
                <w:b/>
              </w:rPr>
            </w:pPr>
          </w:p>
        </w:tc>
        <w:tc>
          <w:tcPr>
            <w:tcW w:w="5279" w:type="dxa"/>
            <w:tcBorders>
              <w:bottom w:val="single" w:sz="4" w:space="0" w:color="auto"/>
            </w:tcBorders>
            <w:shd w:val="clear" w:color="auto" w:fill="BA89CD"/>
          </w:tcPr>
          <w:p w14:paraId="61972B73" w14:textId="492FC294" w:rsidR="004A4BAA" w:rsidRPr="00813ACE" w:rsidRDefault="004A4BAA" w:rsidP="004A4BAA">
            <w:pPr>
              <w:rPr>
                <w:rFonts w:cstheme="minorHAnsi"/>
              </w:rPr>
            </w:pPr>
            <w:r>
              <w:rPr>
                <w:rFonts w:ascii="Calibri" w:hAnsi="Calibri" w:cs="Calibri"/>
                <w:b/>
              </w:rPr>
              <w:t xml:space="preserve">2.7 </w:t>
            </w:r>
            <w:r>
              <w:rPr>
                <w:rFonts w:ascii="Calibri" w:hAnsi="Calibri" w:cs="Calibri"/>
              </w:rPr>
              <w:t xml:space="preserve">Offender Personality Disorder Pathway – prisoners should be screened for OPD at the start of their sentence, if this has not been completed pre-handover or parole, these cases should be prioritised for transition into the community.  </w:t>
            </w:r>
            <w:r w:rsidRPr="00813ACE">
              <w:rPr>
                <w:rFonts w:cstheme="minorHAnsi"/>
              </w:rPr>
              <w:t xml:space="preserve">HMPPS Psychology to offer </w:t>
            </w:r>
            <w:r>
              <w:rPr>
                <w:rFonts w:cstheme="minorHAnsi"/>
              </w:rPr>
              <w:t xml:space="preserve">limited </w:t>
            </w:r>
            <w:r w:rsidRPr="00813ACE">
              <w:rPr>
                <w:rFonts w:cstheme="minorHAnsi"/>
              </w:rPr>
              <w:t>remote</w:t>
            </w:r>
            <w:r w:rsidR="004003A4">
              <w:rPr>
                <w:rFonts w:cstheme="minorHAnsi"/>
              </w:rPr>
              <w:t xml:space="preserve"> </w:t>
            </w:r>
            <w:r w:rsidR="00FD12FE">
              <w:rPr>
                <w:rFonts w:cstheme="minorHAnsi"/>
              </w:rPr>
              <w:t xml:space="preserve">and face to face </w:t>
            </w:r>
            <w:r w:rsidRPr="00813ACE">
              <w:rPr>
                <w:rFonts w:cstheme="minorHAnsi"/>
              </w:rPr>
              <w:t xml:space="preserve">consultation to </w:t>
            </w:r>
            <w:r>
              <w:rPr>
                <w:rFonts w:cstheme="minorHAnsi"/>
              </w:rPr>
              <w:t>POM’s where possible. (HMPPS Psychology EDM currently enacted).</w:t>
            </w:r>
            <w:r w:rsidRPr="00813ACE">
              <w:rPr>
                <w:rFonts w:cstheme="minorHAnsi"/>
              </w:rPr>
              <w:t xml:space="preserve"> </w:t>
            </w:r>
          </w:p>
          <w:p w14:paraId="7F6AC625" w14:textId="77777777" w:rsidR="004A4BAA" w:rsidRDefault="004A4BAA" w:rsidP="005151FA">
            <w:pPr>
              <w:rPr>
                <w:rFonts w:ascii="Calibri" w:hAnsi="Calibri" w:cs="Calibri"/>
                <w:b/>
              </w:rPr>
            </w:pPr>
          </w:p>
        </w:tc>
        <w:tc>
          <w:tcPr>
            <w:tcW w:w="1156" w:type="dxa"/>
            <w:shd w:val="clear" w:color="auto" w:fill="BA89CD"/>
          </w:tcPr>
          <w:p w14:paraId="3E4084CF" w14:textId="77777777" w:rsidR="004A4BAA" w:rsidRPr="00C466E1" w:rsidRDefault="00181356" w:rsidP="00C466E1">
            <w:pPr>
              <w:jc w:val="center"/>
              <w:rPr>
                <w:b/>
              </w:rPr>
            </w:pPr>
            <w:r>
              <w:rPr>
                <w:b/>
              </w:rPr>
              <w:t>2</w:t>
            </w:r>
          </w:p>
        </w:tc>
        <w:tc>
          <w:tcPr>
            <w:tcW w:w="1796" w:type="dxa"/>
            <w:shd w:val="clear" w:color="auto" w:fill="BA89CD"/>
          </w:tcPr>
          <w:p w14:paraId="4C33CD58" w14:textId="77777777" w:rsidR="004A4BAA" w:rsidRDefault="00181356" w:rsidP="00435AC2">
            <w:pPr>
              <w:jc w:val="center"/>
              <w:rPr>
                <w:b/>
              </w:rPr>
            </w:pPr>
            <w:r>
              <w:rPr>
                <w:b/>
              </w:rPr>
              <w:t>Partial</w:t>
            </w:r>
          </w:p>
        </w:tc>
        <w:tc>
          <w:tcPr>
            <w:tcW w:w="4227" w:type="dxa"/>
            <w:shd w:val="clear" w:color="auto" w:fill="BA89CD"/>
          </w:tcPr>
          <w:p w14:paraId="7A598221" w14:textId="77777777" w:rsidR="004A4BAA" w:rsidRDefault="000347EA" w:rsidP="00435AC2">
            <w:r>
              <w:t xml:space="preserve">Case Management Tool on </w:t>
            </w:r>
            <w:proofErr w:type="spellStart"/>
            <w:r>
              <w:t>OMiC</w:t>
            </w:r>
            <w:proofErr w:type="spellEnd"/>
            <w:r>
              <w:t xml:space="preserve"> </w:t>
            </w:r>
            <w:proofErr w:type="spellStart"/>
            <w:r>
              <w:t>EQuIP</w:t>
            </w:r>
            <w:proofErr w:type="spellEnd"/>
            <w:r>
              <w:t xml:space="preserve"> contains a range of</w:t>
            </w:r>
            <w:r w:rsidR="000804B1">
              <w:t xml:space="preserve"> guidance documents on OPD.</w:t>
            </w:r>
          </w:p>
          <w:p w14:paraId="56E23209" w14:textId="77777777" w:rsidR="00C819EB" w:rsidRDefault="00C819EB" w:rsidP="00435AC2"/>
          <w:p w14:paraId="3EA65B76" w14:textId="77777777" w:rsidR="00C819EB" w:rsidRPr="00C819EB" w:rsidRDefault="002F671C" w:rsidP="00C819EB">
            <w:pPr>
              <w:jc w:val="both"/>
              <w:rPr>
                <w:b/>
                <w:u w:val="single"/>
              </w:rPr>
            </w:pPr>
            <w:hyperlink r:id="rId25" w:history="1">
              <w:r w:rsidR="00C819EB" w:rsidRPr="00C819EB">
                <w:rPr>
                  <w:rStyle w:val="Hyperlink"/>
                  <w:b/>
                </w:rPr>
                <w:t>OPD</w:t>
              </w:r>
            </w:hyperlink>
          </w:p>
          <w:p w14:paraId="0F0F8FB1" w14:textId="77777777" w:rsidR="00C819EB" w:rsidRPr="00CF79F3" w:rsidRDefault="00C819EB" w:rsidP="00435AC2"/>
        </w:tc>
      </w:tr>
      <w:tr w:rsidR="001146E4" w14:paraId="5DFB337B" w14:textId="77777777" w:rsidTr="001146E4">
        <w:trPr>
          <w:trHeight w:val="920"/>
        </w:trPr>
        <w:tc>
          <w:tcPr>
            <w:tcW w:w="1779" w:type="dxa"/>
            <w:vMerge w:val="restart"/>
            <w:shd w:val="clear" w:color="auto" w:fill="BA89CD"/>
          </w:tcPr>
          <w:p w14:paraId="4DB008B0" w14:textId="77777777" w:rsidR="001146E4" w:rsidRDefault="001146E4" w:rsidP="00435AC2">
            <w:pPr>
              <w:rPr>
                <w:b/>
              </w:rPr>
            </w:pPr>
          </w:p>
        </w:tc>
        <w:tc>
          <w:tcPr>
            <w:tcW w:w="5279" w:type="dxa"/>
            <w:tcBorders>
              <w:bottom w:val="single" w:sz="4" w:space="0" w:color="auto"/>
            </w:tcBorders>
            <w:shd w:val="clear" w:color="auto" w:fill="BA89CD"/>
          </w:tcPr>
          <w:p w14:paraId="0CA7E220" w14:textId="74056BAE" w:rsidR="001146E4" w:rsidRDefault="001146E4" w:rsidP="004A4BAA">
            <w:pPr>
              <w:rPr>
                <w:rFonts w:ascii="Calibri" w:hAnsi="Calibri" w:cs="Calibri"/>
                <w:b/>
                <w:highlight w:val="yellow"/>
              </w:rPr>
            </w:pPr>
          </w:p>
          <w:p w14:paraId="754A1470" w14:textId="0395B3AA" w:rsidR="001146E4" w:rsidRPr="00864C8B" w:rsidRDefault="001146E4" w:rsidP="004A4BAA">
            <w:pPr>
              <w:rPr>
                <w:rFonts w:ascii="Calibri" w:hAnsi="Calibri" w:cs="Calibri"/>
                <w:b/>
                <w:highlight w:val="yellow"/>
              </w:rPr>
            </w:pPr>
            <w:r w:rsidRPr="00803874">
              <w:rPr>
                <w:rFonts w:ascii="Calibri" w:hAnsi="Calibri" w:cs="Calibri"/>
                <w:b/>
              </w:rPr>
              <w:t xml:space="preserve">2.8 </w:t>
            </w:r>
            <w:r w:rsidRPr="001146E4">
              <w:rPr>
                <w:rFonts w:ascii="Calibri" w:hAnsi="Calibri" w:cs="Calibri"/>
              </w:rPr>
              <w:t>Psychological Assessment for Parole directed hearing to be facilitated in liaison with Psychology Team</w:t>
            </w:r>
          </w:p>
        </w:tc>
        <w:tc>
          <w:tcPr>
            <w:tcW w:w="1156" w:type="dxa"/>
            <w:shd w:val="clear" w:color="auto" w:fill="BA89CD"/>
          </w:tcPr>
          <w:p w14:paraId="35FEF7FC" w14:textId="546A0C44" w:rsidR="001146E4" w:rsidRDefault="001146E4" w:rsidP="00C466E1">
            <w:pPr>
              <w:jc w:val="center"/>
              <w:rPr>
                <w:b/>
              </w:rPr>
            </w:pPr>
            <w:r>
              <w:rPr>
                <w:b/>
              </w:rPr>
              <w:t>2</w:t>
            </w:r>
          </w:p>
        </w:tc>
        <w:tc>
          <w:tcPr>
            <w:tcW w:w="1796" w:type="dxa"/>
            <w:shd w:val="clear" w:color="auto" w:fill="BA89CD"/>
          </w:tcPr>
          <w:p w14:paraId="117C5C96" w14:textId="77777777" w:rsidR="001146E4" w:rsidRDefault="001146E4" w:rsidP="00435AC2">
            <w:pPr>
              <w:jc w:val="center"/>
              <w:rPr>
                <w:b/>
              </w:rPr>
            </w:pPr>
            <w:r>
              <w:rPr>
                <w:b/>
              </w:rPr>
              <w:t>Partial</w:t>
            </w:r>
          </w:p>
        </w:tc>
        <w:tc>
          <w:tcPr>
            <w:tcW w:w="4227" w:type="dxa"/>
            <w:shd w:val="clear" w:color="auto" w:fill="BA89CD"/>
          </w:tcPr>
          <w:p w14:paraId="6AF89864" w14:textId="77777777" w:rsidR="001146E4" w:rsidRDefault="001146E4" w:rsidP="00435AC2"/>
        </w:tc>
      </w:tr>
      <w:tr w:rsidR="001146E4" w14:paraId="1E006E03" w14:textId="77777777" w:rsidTr="001146E4">
        <w:trPr>
          <w:trHeight w:val="920"/>
        </w:trPr>
        <w:tc>
          <w:tcPr>
            <w:tcW w:w="1779" w:type="dxa"/>
            <w:vMerge/>
            <w:shd w:val="clear" w:color="auto" w:fill="BA89CD"/>
          </w:tcPr>
          <w:p w14:paraId="6360E8E3" w14:textId="77777777" w:rsidR="001146E4" w:rsidRDefault="001146E4" w:rsidP="00435AC2">
            <w:pPr>
              <w:rPr>
                <w:b/>
              </w:rPr>
            </w:pPr>
          </w:p>
        </w:tc>
        <w:tc>
          <w:tcPr>
            <w:tcW w:w="5279" w:type="dxa"/>
            <w:tcBorders>
              <w:bottom w:val="single" w:sz="4" w:space="0" w:color="auto"/>
            </w:tcBorders>
            <w:shd w:val="clear" w:color="auto" w:fill="BA89CD"/>
          </w:tcPr>
          <w:p w14:paraId="0E4179E2" w14:textId="1B0351B2" w:rsidR="001146E4" w:rsidRPr="001146E4" w:rsidRDefault="001146E4" w:rsidP="001146E4">
            <w:pPr>
              <w:pStyle w:val="CommentText"/>
              <w:rPr>
                <w:sz w:val="22"/>
                <w:szCs w:val="22"/>
              </w:rPr>
            </w:pPr>
            <w:proofErr w:type="gramStart"/>
            <w:r w:rsidRPr="001146E4">
              <w:rPr>
                <w:rFonts w:ascii="Calibri" w:hAnsi="Calibri" w:cs="Calibri"/>
                <w:b/>
                <w:sz w:val="22"/>
                <w:szCs w:val="22"/>
              </w:rPr>
              <w:t xml:space="preserve">2.9  </w:t>
            </w:r>
            <w:r w:rsidRPr="001146E4">
              <w:rPr>
                <w:rFonts w:ascii="Calibri" w:hAnsi="Calibri" w:cs="Calibri"/>
                <w:sz w:val="22"/>
                <w:szCs w:val="22"/>
              </w:rPr>
              <w:t>Youth</w:t>
            </w:r>
            <w:proofErr w:type="gramEnd"/>
            <w:r w:rsidRPr="001146E4">
              <w:rPr>
                <w:rFonts w:ascii="Calibri" w:hAnsi="Calibri" w:cs="Calibri"/>
                <w:sz w:val="22"/>
                <w:szCs w:val="22"/>
              </w:rPr>
              <w:t xml:space="preserve"> to Adult transitions</w:t>
            </w:r>
            <w:r w:rsidRPr="001146E4">
              <w:rPr>
                <w:sz w:val="22"/>
                <w:szCs w:val="22"/>
              </w:rPr>
              <w:t xml:space="preserve"> </w:t>
            </w:r>
            <w:r>
              <w:rPr>
                <w:sz w:val="22"/>
                <w:szCs w:val="22"/>
              </w:rPr>
              <w:t xml:space="preserve">including </w:t>
            </w:r>
            <w:r w:rsidRPr="001146E4">
              <w:rPr>
                <w:sz w:val="22"/>
                <w:szCs w:val="22"/>
              </w:rPr>
              <w:t>sentence planning and review meetings and transition closure meetings</w:t>
            </w:r>
            <w:r>
              <w:rPr>
                <w:sz w:val="22"/>
                <w:szCs w:val="22"/>
              </w:rPr>
              <w:t xml:space="preserve">, </w:t>
            </w:r>
            <w:r w:rsidRPr="001146E4">
              <w:rPr>
                <w:sz w:val="22"/>
                <w:szCs w:val="22"/>
              </w:rPr>
              <w:t xml:space="preserve">liaising with </w:t>
            </w:r>
            <w:r>
              <w:rPr>
                <w:sz w:val="22"/>
                <w:szCs w:val="22"/>
              </w:rPr>
              <w:t xml:space="preserve">the Youth Offending Service and Youth Custody. </w:t>
            </w:r>
          </w:p>
          <w:p w14:paraId="17D3488D" w14:textId="27DD475F" w:rsidR="001146E4" w:rsidRPr="001146E4" w:rsidRDefault="001146E4" w:rsidP="004A4BAA">
            <w:pPr>
              <w:rPr>
                <w:rFonts w:ascii="Calibri" w:hAnsi="Calibri" w:cs="Calibri"/>
                <w:highlight w:val="yellow"/>
                <w:u w:val="single"/>
              </w:rPr>
            </w:pPr>
          </w:p>
        </w:tc>
        <w:tc>
          <w:tcPr>
            <w:tcW w:w="1156" w:type="dxa"/>
            <w:shd w:val="clear" w:color="auto" w:fill="BA89CD"/>
          </w:tcPr>
          <w:p w14:paraId="1F92F4E8" w14:textId="6961E065" w:rsidR="001146E4" w:rsidRDefault="001146E4" w:rsidP="00C466E1">
            <w:pPr>
              <w:jc w:val="center"/>
              <w:rPr>
                <w:b/>
              </w:rPr>
            </w:pPr>
            <w:r>
              <w:rPr>
                <w:b/>
              </w:rPr>
              <w:t>2</w:t>
            </w:r>
          </w:p>
        </w:tc>
        <w:tc>
          <w:tcPr>
            <w:tcW w:w="1796" w:type="dxa"/>
            <w:shd w:val="clear" w:color="auto" w:fill="BA89CD"/>
          </w:tcPr>
          <w:p w14:paraId="63CA3E26" w14:textId="6B426555" w:rsidR="001146E4" w:rsidRDefault="001146E4" w:rsidP="00435AC2">
            <w:pPr>
              <w:jc w:val="center"/>
              <w:rPr>
                <w:b/>
              </w:rPr>
            </w:pPr>
            <w:r>
              <w:rPr>
                <w:b/>
              </w:rPr>
              <w:t>Partial</w:t>
            </w:r>
          </w:p>
        </w:tc>
        <w:tc>
          <w:tcPr>
            <w:tcW w:w="4227" w:type="dxa"/>
            <w:shd w:val="clear" w:color="auto" w:fill="BA89CD"/>
          </w:tcPr>
          <w:p w14:paraId="590F6689" w14:textId="77777777" w:rsidR="001146E4" w:rsidRDefault="002F671C" w:rsidP="001146E4">
            <w:hyperlink r:id="rId26" w:history="1">
              <w:r w:rsidR="001146E4">
                <w:rPr>
                  <w:rStyle w:val="Hyperlink"/>
                </w:rPr>
                <w:t>Youth to Adult Transition</w:t>
              </w:r>
            </w:hyperlink>
          </w:p>
          <w:p w14:paraId="60BF17C9" w14:textId="77777777" w:rsidR="001146E4" w:rsidRDefault="001146E4" w:rsidP="00435AC2"/>
        </w:tc>
      </w:tr>
      <w:tr w:rsidR="00CE3709" w14:paraId="7D42FDA5" w14:textId="77777777" w:rsidTr="001146E4">
        <w:trPr>
          <w:trHeight w:val="534"/>
        </w:trPr>
        <w:tc>
          <w:tcPr>
            <w:tcW w:w="1779" w:type="dxa"/>
            <w:vMerge w:val="restart"/>
            <w:shd w:val="clear" w:color="auto" w:fill="DBC1E5"/>
          </w:tcPr>
          <w:p w14:paraId="08F2D8F8" w14:textId="77777777" w:rsidR="00CE3709" w:rsidRDefault="00CE3709" w:rsidP="00467D4B">
            <w:pPr>
              <w:jc w:val="both"/>
              <w:rPr>
                <w:b/>
              </w:rPr>
            </w:pPr>
            <w:r>
              <w:rPr>
                <w:b/>
              </w:rPr>
              <w:t>3. Resettlement</w:t>
            </w:r>
          </w:p>
        </w:tc>
        <w:tc>
          <w:tcPr>
            <w:tcW w:w="5279" w:type="dxa"/>
            <w:tcBorders>
              <w:bottom w:val="single" w:sz="4" w:space="0" w:color="auto"/>
            </w:tcBorders>
            <w:shd w:val="clear" w:color="auto" w:fill="DBC1E5"/>
          </w:tcPr>
          <w:p w14:paraId="677A490E" w14:textId="77777777" w:rsidR="00CE3709" w:rsidRDefault="00CE3709" w:rsidP="00467D4B">
            <w:pPr>
              <w:jc w:val="both"/>
              <w:rPr>
                <w:b/>
              </w:rPr>
            </w:pPr>
            <w:r>
              <w:t xml:space="preserve"> </w:t>
            </w:r>
            <w:r w:rsidRPr="00B03E60">
              <w:rPr>
                <w:b/>
              </w:rPr>
              <w:t>3.1</w:t>
            </w:r>
            <w:r>
              <w:t xml:space="preserve"> </w:t>
            </w:r>
            <w:r>
              <w:rPr>
                <w:rFonts w:ascii="Calibri" w:hAnsi="Calibri" w:cs="Calibri"/>
              </w:rPr>
              <w:t>Early Allocation to the community</w:t>
            </w:r>
          </w:p>
        </w:tc>
        <w:tc>
          <w:tcPr>
            <w:tcW w:w="1156" w:type="dxa"/>
            <w:tcBorders>
              <w:bottom w:val="single" w:sz="4" w:space="0" w:color="auto"/>
            </w:tcBorders>
            <w:shd w:val="clear" w:color="auto" w:fill="DBC1E5"/>
          </w:tcPr>
          <w:p w14:paraId="5951894F" w14:textId="77777777" w:rsidR="00CE3709" w:rsidRPr="00C466E1" w:rsidRDefault="00AB2CE8" w:rsidP="00C466E1">
            <w:pPr>
              <w:jc w:val="center"/>
              <w:rPr>
                <w:b/>
              </w:rPr>
            </w:pPr>
            <w:r w:rsidRPr="00C466E1">
              <w:rPr>
                <w:b/>
              </w:rPr>
              <w:t>3</w:t>
            </w:r>
          </w:p>
          <w:p w14:paraId="280D72C5" w14:textId="77777777" w:rsidR="00CE3709" w:rsidRPr="00C466E1" w:rsidRDefault="00CE3709" w:rsidP="00C466E1">
            <w:pPr>
              <w:jc w:val="center"/>
              <w:rPr>
                <w:b/>
              </w:rPr>
            </w:pPr>
          </w:p>
          <w:p w14:paraId="26F8A597" w14:textId="77777777" w:rsidR="00CE3709" w:rsidRPr="00C466E1" w:rsidRDefault="00CE3709" w:rsidP="00C466E1">
            <w:pPr>
              <w:jc w:val="center"/>
              <w:rPr>
                <w:b/>
              </w:rPr>
            </w:pPr>
          </w:p>
        </w:tc>
        <w:tc>
          <w:tcPr>
            <w:tcW w:w="1796" w:type="dxa"/>
            <w:tcBorders>
              <w:bottom w:val="single" w:sz="4" w:space="0" w:color="auto"/>
            </w:tcBorders>
            <w:shd w:val="clear" w:color="auto" w:fill="DBC1E5"/>
          </w:tcPr>
          <w:p w14:paraId="2BF56A46" w14:textId="77777777" w:rsidR="00CE3709" w:rsidRDefault="008B3EE4" w:rsidP="00467D4B">
            <w:pPr>
              <w:jc w:val="center"/>
              <w:rPr>
                <w:b/>
              </w:rPr>
            </w:pPr>
            <w:r>
              <w:rPr>
                <w:b/>
              </w:rPr>
              <w:lastRenderedPageBreak/>
              <w:t>Limited</w:t>
            </w:r>
          </w:p>
        </w:tc>
        <w:tc>
          <w:tcPr>
            <w:tcW w:w="4227" w:type="dxa"/>
            <w:tcBorders>
              <w:bottom w:val="single" w:sz="4" w:space="0" w:color="auto"/>
            </w:tcBorders>
            <w:shd w:val="clear" w:color="auto" w:fill="DBC1E5"/>
          </w:tcPr>
          <w:p w14:paraId="00FABFCC" w14:textId="77777777" w:rsidR="00CE3709" w:rsidRDefault="00B1561C" w:rsidP="00467D4B">
            <w:pPr>
              <w:jc w:val="both"/>
            </w:pPr>
            <w:proofErr w:type="spellStart"/>
            <w:r>
              <w:t>OMiC</w:t>
            </w:r>
            <w:proofErr w:type="spellEnd"/>
            <w:r>
              <w:t xml:space="preserve"> Early Allocation Guidance for POM’s</w:t>
            </w:r>
          </w:p>
          <w:p w14:paraId="2E9CA9B6" w14:textId="77777777" w:rsidR="00C21231" w:rsidRDefault="00C21231" w:rsidP="00467D4B">
            <w:pPr>
              <w:jc w:val="both"/>
            </w:pPr>
          </w:p>
          <w:p w14:paraId="4B27723A" w14:textId="77777777" w:rsidR="001D7859" w:rsidRDefault="001D7859" w:rsidP="00467D4B">
            <w:pPr>
              <w:jc w:val="both"/>
            </w:pPr>
            <w:r>
              <w:lastRenderedPageBreak/>
              <w:t>Early Allocation Referral</w:t>
            </w:r>
          </w:p>
          <w:p w14:paraId="4355E882" w14:textId="77777777" w:rsidR="00C21231" w:rsidRDefault="00C21231" w:rsidP="00467D4B">
            <w:pPr>
              <w:jc w:val="both"/>
            </w:pPr>
          </w:p>
          <w:p w14:paraId="51C5A5AE" w14:textId="77777777" w:rsidR="00C21231" w:rsidRPr="00C21231" w:rsidRDefault="002F671C" w:rsidP="00C21231">
            <w:pPr>
              <w:jc w:val="both"/>
              <w:rPr>
                <w:b/>
                <w:u w:val="single"/>
              </w:rPr>
            </w:pPr>
            <w:hyperlink r:id="rId27" w:history="1">
              <w:r w:rsidR="00C21231" w:rsidRPr="00C21231">
                <w:rPr>
                  <w:rStyle w:val="Hyperlink"/>
                  <w:b/>
                </w:rPr>
                <w:t>Early Allocation</w:t>
              </w:r>
            </w:hyperlink>
          </w:p>
          <w:p w14:paraId="2671F7FA" w14:textId="77777777" w:rsidR="00C21231" w:rsidRDefault="00C21231" w:rsidP="00467D4B">
            <w:pPr>
              <w:jc w:val="both"/>
            </w:pPr>
          </w:p>
        </w:tc>
      </w:tr>
      <w:tr w:rsidR="00CE3709" w14:paraId="7B0595AB" w14:textId="77777777" w:rsidTr="001146E4">
        <w:trPr>
          <w:trHeight w:val="54"/>
        </w:trPr>
        <w:tc>
          <w:tcPr>
            <w:tcW w:w="1779" w:type="dxa"/>
            <w:vMerge/>
            <w:shd w:val="clear" w:color="auto" w:fill="DBC1E5"/>
          </w:tcPr>
          <w:p w14:paraId="0E099C41" w14:textId="77777777" w:rsidR="00CE3709" w:rsidRDefault="00CE3709" w:rsidP="00467D4B">
            <w:pPr>
              <w:jc w:val="both"/>
              <w:rPr>
                <w:b/>
              </w:rPr>
            </w:pPr>
          </w:p>
        </w:tc>
        <w:tc>
          <w:tcPr>
            <w:tcW w:w="5279" w:type="dxa"/>
            <w:tcBorders>
              <w:bottom w:val="single" w:sz="4" w:space="0" w:color="auto"/>
            </w:tcBorders>
            <w:shd w:val="clear" w:color="auto" w:fill="DBC1E5"/>
          </w:tcPr>
          <w:p w14:paraId="21BC2017" w14:textId="77777777" w:rsidR="00CE3709" w:rsidRDefault="00CE3709" w:rsidP="00467D4B">
            <w:pPr>
              <w:jc w:val="both"/>
              <w:rPr>
                <w:b/>
              </w:rPr>
            </w:pPr>
            <w:r>
              <w:rPr>
                <w:b/>
              </w:rPr>
              <w:t xml:space="preserve">3.2 </w:t>
            </w:r>
            <w:r w:rsidRPr="00715C9F">
              <w:rPr>
                <w:rFonts w:ascii="Calibri" w:hAnsi="Calibri" w:cs="Calibri"/>
              </w:rPr>
              <w:t>Handover meetings with the Community Offender Manager are to be completed via</w:t>
            </w:r>
            <w:r>
              <w:rPr>
                <w:rFonts w:ascii="Calibri" w:hAnsi="Calibri" w:cs="Calibri"/>
              </w:rPr>
              <w:t xml:space="preserve"> the agreed technology pathway. </w:t>
            </w:r>
            <w:r w:rsidRPr="00715C9F">
              <w:rPr>
                <w:rFonts w:ascii="Calibri" w:hAnsi="Calibri" w:cs="Calibri"/>
              </w:rPr>
              <w:t xml:space="preserve"> </w:t>
            </w:r>
            <w:r>
              <w:rPr>
                <w:rFonts w:ascii="Calibri" w:hAnsi="Calibri" w:cs="Calibri"/>
              </w:rPr>
              <w:t>Co</w:t>
            </w:r>
            <w:r w:rsidRPr="00715C9F">
              <w:rPr>
                <w:rFonts w:ascii="Calibri" w:hAnsi="Calibri" w:cs="Calibri"/>
              </w:rPr>
              <w:t>mmunication with the prisoner regarding handover will be carried out by a method agreed locally by each prison SMT</w:t>
            </w:r>
            <w:r>
              <w:rPr>
                <w:rFonts w:ascii="Calibri" w:hAnsi="Calibri" w:cs="Calibri"/>
              </w:rPr>
              <w:t>.</w:t>
            </w:r>
          </w:p>
        </w:tc>
        <w:tc>
          <w:tcPr>
            <w:tcW w:w="1156" w:type="dxa"/>
            <w:shd w:val="clear" w:color="auto" w:fill="DBC1E5"/>
          </w:tcPr>
          <w:p w14:paraId="4927C7DB" w14:textId="77777777" w:rsidR="00CE3709" w:rsidRPr="00C466E1" w:rsidRDefault="00AB2CE8" w:rsidP="00C466E1">
            <w:pPr>
              <w:jc w:val="center"/>
              <w:rPr>
                <w:b/>
              </w:rPr>
            </w:pPr>
            <w:r w:rsidRPr="00C466E1">
              <w:rPr>
                <w:b/>
              </w:rPr>
              <w:t>3</w:t>
            </w:r>
          </w:p>
        </w:tc>
        <w:tc>
          <w:tcPr>
            <w:tcW w:w="1796" w:type="dxa"/>
            <w:shd w:val="clear" w:color="auto" w:fill="DBC1E5"/>
          </w:tcPr>
          <w:p w14:paraId="162AEA90" w14:textId="77777777" w:rsidR="00CE3709" w:rsidRDefault="008B3EE4" w:rsidP="00467D4B">
            <w:pPr>
              <w:jc w:val="center"/>
              <w:rPr>
                <w:b/>
              </w:rPr>
            </w:pPr>
            <w:r>
              <w:rPr>
                <w:b/>
              </w:rPr>
              <w:t>Limited</w:t>
            </w:r>
          </w:p>
        </w:tc>
        <w:tc>
          <w:tcPr>
            <w:tcW w:w="4227" w:type="dxa"/>
            <w:shd w:val="clear" w:color="auto" w:fill="DBC1E5"/>
          </w:tcPr>
          <w:p w14:paraId="07754D2A" w14:textId="77777777" w:rsidR="004A7200" w:rsidRPr="004A7200" w:rsidRDefault="004A7200" w:rsidP="00031785">
            <w:pPr>
              <w:spacing w:before="240"/>
              <w:jc w:val="both"/>
              <w:rPr>
                <w:rFonts w:cstheme="minorHAnsi"/>
              </w:rPr>
            </w:pPr>
            <w:r w:rsidRPr="004A7200">
              <w:rPr>
                <w:rFonts w:cstheme="minorHAnsi"/>
              </w:rPr>
              <w:t>OMIC Handover Guidance V2</w:t>
            </w:r>
          </w:p>
          <w:p w14:paraId="3A1DF63C" w14:textId="77777777" w:rsidR="00031785" w:rsidRPr="00C21231" w:rsidRDefault="002F671C" w:rsidP="00031785">
            <w:pPr>
              <w:spacing w:before="240"/>
              <w:jc w:val="both"/>
              <w:rPr>
                <w:rFonts w:cstheme="minorHAnsi"/>
                <w:b/>
              </w:rPr>
            </w:pPr>
            <w:hyperlink r:id="rId28" w:history="1">
              <w:r w:rsidR="00031785" w:rsidRPr="00C21231">
                <w:rPr>
                  <w:rStyle w:val="Hyperlink"/>
                  <w:rFonts w:cstheme="minorHAnsi"/>
                  <w:b/>
                </w:rPr>
                <w:t xml:space="preserve">NPS and CRC Handover </w:t>
              </w:r>
            </w:hyperlink>
          </w:p>
          <w:p w14:paraId="2A7C3B8F" w14:textId="77777777" w:rsidR="00CE3709" w:rsidRDefault="00CE3709" w:rsidP="00467D4B">
            <w:pPr>
              <w:jc w:val="both"/>
            </w:pPr>
          </w:p>
        </w:tc>
      </w:tr>
      <w:tr w:rsidR="00CE3709" w14:paraId="10B546B2" w14:textId="77777777" w:rsidTr="001146E4">
        <w:trPr>
          <w:trHeight w:val="54"/>
        </w:trPr>
        <w:tc>
          <w:tcPr>
            <w:tcW w:w="1779" w:type="dxa"/>
            <w:vMerge/>
            <w:shd w:val="clear" w:color="auto" w:fill="DBC1E5"/>
          </w:tcPr>
          <w:p w14:paraId="204BAE38" w14:textId="77777777" w:rsidR="00CE3709" w:rsidRDefault="00CE3709" w:rsidP="00467D4B">
            <w:pPr>
              <w:jc w:val="both"/>
              <w:rPr>
                <w:b/>
              </w:rPr>
            </w:pPr>
          </w:p>
        </w:tc>
        <w:tc>
          <w:tcPr>
            <w:tcW w:w="5279" w:type="dxa"/>
            <w:tcBorders>
              <w:bottom w:val="single" w:sz="4" w:space="0" w:color="auto"/>
            </w:tcBorders>
            <w:shd w:val="clear" w:color="auto" w:fill="DBC1E5"/>
          </w:tcPr>
          <w:p w14:paraId="12675FCE" w14:textId="77777777" w:rsidR="00CE3709" w:rsidRDefault="00CE3709" w:rsidP="00D01543">
            <w:pPr>
              <w:rPr>
                <w:rFonts w:ascii="Calibri" w:hAnsi="Calibri" w:cs="Calibri"/>
              </w:rPr>
            </w:pPr>
            <w:r>
              <w:rPr>
                <w:rFonts w:ascii="Calibri" w:hAnsi="Calibri" w:cs="Calibri"/>
                <w:b/>
              </w:rPr>
              <w:t xml:space="preserve">3.3 </w:t>
            </w:r>
            <w:r w:rsidRPr="00715C9F">
              <w:rPr>
                <w:rFonts w:ascii="Calibri" w:hAnsi="Calibri" w:cs="Calibri"/>
              </w:rPr>
              <w:t xml:space="preserve">Contribution to MAPPA to continue via completion of the MAPPA F and </w:t>
            </w:r>
            <w:r>
              <w:rPr>
                <w:rFonts w:ascii="Calibri" w:hAnsi="Calibri" w:cs="Calibri"/>
              </w:rPr>
              <w:t xml:space="preserve">attendance at MAPPA meetings via the agreed technology pathway. </w:t>
            </w:r>
          </w:p>
          <w:p w14:paraId="22D323ED" w14:textId="77777777" w:rsidR="00CE3709" w:rsidRDefault="00CE3709" w:rsidP="00467D4B">
            <w:pPr>
              <w:jc w:val="both"/>
              <w:rPr>
                <w:b/>
              </w:rPr>
            </w:pPr>
          </w:p>
        </w:tc>
        <w:tc>
          <w:tcPr>
            <w:tcW w:w="1156" w:type="dxa"/>
            <w:shd w:val="clear" w:color="auto" w:fill="DBC1E5"/>
          </w:tcPr>
          <w:p w14:paraId="1915F685" w14:textId="77777777" w:rsidR="00CE3709" w:rsidRPr="00C466E1" w:rsidRDefault="00AB2CE8" w:rsidP="00C466E1">
            <w:pPr>
              <w:jc w:val="center"/>
              <w:rPr>
                <w:b/>
              </w:rPr>
            </w:pPr>
            <w:r w:rsidRPr="00C466E1">
              <w:rPr>
                <w:b/>
              </w:rPr>
              <w:t>3</w:t>
            </w:r>
          </w:p>
        </w:tc>
        <w:tc>
          <w:tcPr>
            <w:tcW w:w="1796" w:type="dxa"/>
            <w:shd w:val="clear" w:color="auto" w:fill="DBC1E5"/>
          </w:tcPr>
          <w:p w14:paraId="7A9F015D" w14:textId="77777777" w:rsidR="00CE3709" w:rsidRDefault="008B3EE4" w:rsidP="00467D4B">
            <w:pPr>
              <w:jc w:val="center"/>
              <w:rPr>
                <w:b/>
              </w:rPr>
            </w:pPr>
            <w:r>
              <w:rPr>
                <w:b/>
              </w:rPr>
              <w:t>Limited</w:t>
            </w:r>
          </w:p>
        </w:tc>
        <w:tc>
          <w:tcPr>
            <w:tcW w:w="4227" w:type="dxa"/>
            <w:shd w:val="clear" w:color="auto" w:fill="DBC1E5"/>
          </w:tcPr>
          <w:p w14:paraId="41043DB4" w14:textId="77777777" w:rsidR="007B79A7" w:rsidRPr="007B79A7" w:rsidRDefault="002F671C" w:rsidP="007B79A7">
            <w:pPr>
              <w:jc w:val="both"/>
              <w:rPr>
                <w:b/>
                <w:u w:val="single"/>
              </w:rPr>
            </w:pPr>
            <w:hyperlink r:id="rId29" w:history="1">
              <w:r w:rsidR="007B79A7" w:rsidRPr="007B79A7">
                <w:rPr>
                  <w:rStyle w:val="Hyperlink"/>
                  <w:b/>
                </w:rPr>
                <w:t>MAPPA</w:t>
              </w:r>
            </w:hyperlink>
          </w:p>
          <w:p w14:paraId="5ABFF20A" w14:textId="77777777" w:rsidR="00CE3709" w:rsidRDefault="00CE3709" w:rsidP="00467D4B">
            <w:pPr>
              <w:jc w:val="both"/>
            </w:pPr>
          </w:p>
        </w:tc>
      </w:tr>
      <w:tr w:rsidR="00CE3709" w14:paraId="57215B0C" w14:textId="77777777" w:rsidTr="001146E4">
        <w:trPr>
          <w:trHeight w:val="54"/>
        </w:trPr>
        <w:tc>
          <w:tcPr>
            <w:tcW w:w="1779" w:type="dxa"/>
            <w:vMerge/>
            <w:shd w:val="clear" w:color="auto" w:fill="DBC1E5"/>
          </w:tcPr>
          <w:p w14:paraId="1565E512" w14:textId="77777777" w:rsidR="00CE3709" w:rsidRDefault="00CE3709" w:rsidP="00467D4B">
            <w:pPr>
              <w:jc w:val="both"/>
              <w:rPr>
                <w:b/>
              </w:rPr>
            </w:pPr>
          </w:p>
        </w:tc>
        <w:tc>
          <w:tcPr>
            <w:tcW w:w="5279" w:type="dxa"/>
            <w:tcBorders>
              <w:bottom w:val="single" w:sz="4" w:space="0" w:color="auto"/>
            </w:tcBorders>
            <w:shd w:val="clear" w:color="auto" w:fill="DBC1E5"/>
          </w:tcPr>
          <w:p w14:paraId="0111A52E" w14:textId="77777777" w:rsidR="00CE3709" w:rsidRDefault="00CE3709" w:rsidP="00467D4B">
            <w:pPr>
              <w:jc w:val="both"/>
              <w:rPr>
                <w:b/>
              </w:rPr>
            </w:pPr>
            <w:r w:rsidRPr="00CE3709">
              <w:rPr>
                <w:rFonts w:ascii="Calibri" w:hAnsi="Calibri" w:cs="Calibri"/>
                <w:b/>
              </w:rPr>
              <w:t>3.4</w:t>
            </w:r>
            <w:r>
              <w:rPr>
                <w:rFonts w:ascii="Calibri" w:hAnsi="Calibri" w:cs="Calibri"/>
              </w:rPr>
              <w:t xml:space="preserve"> </w:t>
            </w:r>
            <w:r w:rsidRPr="00715C9F">
              <w:rPr>
                <w:rFonts w:ascii="Calibri" w:hAnsi="Calibri" w:cs="Calibri"/>
              </w:rPr>
              <w:t>ROTL and HDC boards</w:t>
            </w:r>
            <w:r>
              <w:rPr>
                <w:rFonts w:ascii="Calibri" w:hAnsi="Calibri" w:cs="Calibri"/>
              </w:rPr>
              <w:t xml:space="preserve"> and if </w:t>
            </w:r>
            <w:r w:rsidRPr="00715C9F">
              <w:rPr>
                <w:rFonts w:ascii="Calibri" w:hAnsi="Calibri" w:cs="Calibri"/>
              </w:rPr>
              <w:t xml:space="preserve">Emergency Release Procedures are enacted these </w:t>
            </w:r>
            <w:r>
              <w:rPr>
                <w:rFonts w:ascii="Calibri" w:hAnsi="Calibri" w:cs="Calibri"/>
              </w:rPr>
              <w:t xml:space="preserve">should be </w:t>
            </w:r>
            <w:r w:rsidRPr="00715C9F">
              <w:rPr>
                <w:rFonts w:ascii="Calibri" w:hAnsi="Calibri" w:cs="Calibri"/>
              </w:rPr>
              <w:t xml:space="preserve">conducted remotely. </w:t>
            </w:r>
          </w:p>
        </w:tc>
        <w:tc>
          <w:tcPr>
            <w:tcW w:w="1156" w:type="dxa"/>
            <w:shd w:val="clear" w:color="auto" w:fill="DBC1E5"/>
          </w:tcPr>
          <w:p w14:paraId="1CFA8DAF" w14:textId="77777777" w:rsidR="00CE3709" w:rsidRPr="00C466E1" w:rsidRDefault="00AB2CE8" w:rsidP="00C466E1">
            <w:pPr>
              <w:jc w:val="center"/>
              <w:rPr>
                <w:b/>
              </w:rPr>
            </w:pPr>
            <w:r w:rsidRPr="00C466E1">
              <w:rPr>
                <w:b/>
              </w:rPr>
              <w:t>3</w:t>
            </w:r>
          </w:p>
        </w:tc>
        <w:tc>
          <w:tcPr>
            <w:tcW w:w="1796" w:type="dxa"/>
            <w:shd w:val="clear" w:color="auto" w:fill="DBC1E5"/>
          </w:tcPr>
          <w:p w14:paraId="531A405A" w14:textId="77777777" w:rsidR="00CE3709" w:rsidRDefault="008B3EE4" w:rsidP="00467D4B">
            <w:pPr>
              <w:jc w:val="center"/>
              <w:rPr>
                <w:b/>
              </w:rPr>
            </w:pPr>
            <w:r>
              <w:rPr>
                <w:b/>
              </w:rPr>
              <w:t>Limited</w:t>
            </w:r>
          </w:p>
        </w:tc>
        <w:tc>
          <w:tcPr>
            <w:tcW w:w="4227" w:type="dxa"/>
            <w:shd w:val="clear" w:color="auto" w:fill="DBC1E5"/>
          </w:tcPr>
          <w:p w14:paraId="31239081" w14:textId="77777777" w:rsidR="00A808EC" w:rsidRDefault="002F671C" w:rsidP="007B79A7">
            <w:pPr>
              <w:jc w:val="both"/>
              <w:rPr>
                <w:b/>
                <w:u w:val="single"/>
              </w:rPr>
            </w:pPr>
            <w:hyperlink r:id="rId30" w:history="1">
              <w:r w:rsidR="00A808EC" w:rsidRPr="007B79A7">
                <w:rPr>
                  <w:rStyle w:val="Hyperlink"/>
                  <w:b/>
                </w:rPr>
                <w:t>HDC</w:t>
              </w:r>
            </w:hyperlink>
          </w:p>
          <w:p w14:paraId="3C6B71E4" w14:textId="77777777" w:rsidR="00107323" w:rsidRDefault="00107323" w:rsidP="007B79A7">
            <w:pPr>
              <w:jc w:val="both"/>
              <w:rPr>
                <w:b/>
                <w:u w:val="single"/>
              </w:rPr>
            </w:pPr>
          </w:p>
          <w:p w14:paraId="00FD072E" w14:textId="77777777" w:rsidR="00107323" w:rsidRPr="00107323" w:rsidRDefault="002F671C" w:rsidP="00107323">
            <w:pPr>
              <w:jc w:val="both"/>
              <w:rPr>
                <w:b/>
                <w:u w:val="single"/>
              </w:rPr>
            </w:pPr>
            <w:hyperlink r:id="rId31" w:history="1">
              <w:r w:rsidR="00107323" w:rsidRPr="00107323">
                <w:rPr>
                  <w:rStyle w:val="Hyperlink"/>
                  <w:b/>
                </w:rPr>
                <w:t>ROTL</w:t>
              </w:r>
            </w:hyperlink>
          </w:p>
          <w:p w14:paraId="060930E7" w14:textId="77777777" w:rsidR="00107323" w:rsidRPr="007B79A7" w:rsidRDefault="00107323" w:rsidP="007B79A7">
            <w:pPr>
              <w:jc w:val="both"/>
              <w:rPr>
                <w:b/>
                <w:u w:val="single"/>
              </w:rPr>
            </w:pPr>
          </w:p>
          <w:p w14:paraId="29A5C272" w14:textId="77777777" w:rsidR="00CE3709" w:rsidRDefault="00CE3709" w:rsidP="00467D4B">
            <w:pPr>
              <w:jc w:val="both"/>
            </w:pPr>
          </w:p>
        </w:tc>
      </w:tr>
      <w:tr w:rsidR="00CE3709" w:rsidRPr="00BC5317" w14:paraId="78FF804B" w14:textId="77777777" w:rsidTr="001146E4">
        <w:trPr>
          <w:trHeight w:val="1447"/>
        </w:trPr>
        <w:tc>
          <w:tcPr>
            <w:tcW w:w="1779" w:type="dxa"/>
            <w:vMerge/>
            <w:shd w:val="clear" w:color="auto" w:fill="7F4098"/>
          </w:tcPr>
          <w:p w14:paraId="35AECECA" w14:textId="77777777" w:rsidR="00CE3709" w:rsidRPr="00BC5317" w:rsidRDefault="00CE3709" w:rsidP="00467D4B">
            <w:pPr>
              <w:jc w:val="both"/>
              <w:rPr>
                <w:b/>
                <w:color w:val="FFFFFF" w:themeColor="background1"/>
              </w:rPr>
            </w:pPr>
          </w:p>
        </w:tc>
        <w:tc>
          <w:tcPr>
            <w:tcW w:w="5279" w:type="dxa"/>
            <w:tcBorders>
              <w:bottom w:val="single" w:sz="4" w:space="0" w:color="auto"/>
            </w:tcBorders>
            <w:shd w:val="clear" w:color="auto" w:fill="DBC1E5"/>
          </w:tcPr>
          <w:p w14:paraId="0E3FDB13" w14:textId="77777777" w:rsidR="00CE3709" w:rsidRPr="00BC5317" w:rsidRDefault="001236AF" w:rsidP="00467D4B">
            <w:pPr>
              <w:jc w:val="both"/>
              <w:rPr>
                <w:b/>
                <w:color w:val="FFFFFF" w:themeColor="background1"/>
              </w:rPr>
            </w:pPr>
            <w:r>
              <w:rPr>
                <w:rFonts w:ascii="Calibri" w:hAnsi="Calibri" w:cs="Calibri"/>
                <w:b/>
              </w:rPr>
              <w:t xml:space="preserve">3.5 </w:t>
            </w:r>
            <w:r w:rsidR="00CE3709" w:rsidRPr="00715C9F">
              <w:rPr>
                <w:rFonts w:ascii="Calibri" w:hAnsi="Calibri" w:cs="Calibri"/>
              </w:rPr>
              <w:t>Licence conditions</w:t>
            </w:r>
            <w:r w:rsidR="00CE3709">
              <w:rPr>
                <w:rFonts w:ascii="Calibri" w:hAnsi="Calibri" w:cs="Calibri"/>
              </w:rPr>
              <w:t xml:space="preserve"> to be discussed between POM and COM and POM to chase the community if the PD1 has not been received in a timely manner. Communication to the prisoner on the agreed licence conditions should</w:t>
            </w:r>
            <w:r w:rsidR="00CE3709" w:rsidRPr="00715C9F">
              <w:rPr>
                <w:rFonts w:ascii="Calibri" w:hAnsi="Calibri" w:cs="Calibri"/>
              </w:rPr>
              <w:t xml:space="preserve"> carried out by a method agreed locally by each prison SMT</w:t>
            </w:r>
          </w:p>
        </w:tc>
        <w:tc>
          <w:tcPr>
            <w:tcW w:w="1156" w:type="dxa"/>
            <w:shd w:val="clear" w:color="auto" w:fill="DBC1E5"/>
          </w:tcPr>
          <w:p w14:paraId="42C42A84" w14:textId="77777777" w:rsidR="00CE3709" w:rsidRPr="00C466E1" w:rsidRDefault="00F75983" w:rsidP="00C466E1">
            <w:pPr>
              <w:jc w:val="center"/>
              <w:rPr>
                <w:b/>
                <w:color w:val="FFFFFF" w:themeColor="background1"/>
              </w:rPr>
            </w:pPr>
            <w:r w:rsidRPr="00C466E1">
              <w:rPr>
                <w:b/>
              </w:rPr>
              <w:t>2</w:t>
            </w:r>
          </w:p>
        </w:tc>
        <w:tc>
          <w:tcPr>
            <w:tcW w:w="1796" w:type="dxa"/>
            <w:shd w:val="clear" w:color="auto" w:fill="DBC1E5"/>
          </w:tcPr>
          <w:p w14:paraId="7A9FCFC8" w14:textId="77777777" w:rsidR="00CE3709" w:rsidRPr="00BC5317" w:rsidRDefault="008B3EE4" w:rsidP="00443669">
            <w:pPr>
              <w:jc w:val="center"/>
              <w:rPr>
                <w:b/>
                <w:color w:val="FFFFFF" w:themeColor="background1"/>
              </w:rPr>
            </w:pPr>
            <w:r w:rsidRPr="008B3EE4">
              <w:rPr>
                <w:b/>
              </w:rPr>
              <w:t>Partial</w:t>
            </w:r>
          </w:p>
        </w:tc>
        <w:tc>
          <w:tcPr>
            <w:tcW w:w="4227" w:type="dxa"/>
            <w:shd w:val="clear" w:color="auto" w:fill="DBC1E5"/>
          </w:tcPr>
          <w:p w14:paraId="5FF336F2" w14:textId="77777777" w:rsidR="007F413A" w:rsidRPr="00097D43" w:rsidRDefault="002F671C" w:rsidP="00097D43">
            <w:pPr>
              <w:rPr>
                <w:b/>
                <w:u w:val="single"/>
              </w:rPr>
            </w:pPr>
            <w:hyperlink r:id="rId32" w:history="1">
              <w:r w:rsidR="007F413A" w:rsidRPr="00097D43">
                <w:rPr>
                  <w:rStyle w:val="Hyperlink"/>
                  <w:b/>
                </w:rPr>
                <w:t>Discharge and Licence Conditions</w:t>
              </w:r>
            </w:hyperlink>
          </w:p>
          <w:p w14:paraId="108FD588" w14:textId="77777777" w:rsidR="00CE3709" w:rsidRPr="00BC5317" w:rsidRDefault="00CE3709" w:rsidP="00467D4B">
            <w:pPr>
              <w:jc w:val="both"/>
              <w:rPr>
                <w:b/>
                <w:color w:val="FFFFFF" w:themeColor="background1"/>
              </w:rPr>
            </w:pPr>
          </w:p>
        </w:tc>
      </w:tr>
      <w:tr w:rsidR="00CE3709" w14:paraId="69A86084" w14:textId="77777777" w:rsidTr="001146E4">
        <w:tc>
          <w:tcPr>
            <w:tcW w:w="1779" w:type="dxa"/>
            <w:vMerge/>
            <w:shd w:val="clear" w:color="auto" w:fill="DBC1E5"/>
          </w:tcPr>
          <w:p w14:paraId="7CE9BECB" w14:textId="77777777" w:rsidR="00CE3709" w:rsidRDefault="00CE3709" w:rsidP="00467D4B">
            <w:pPr>
              <w:rPr>
                <w:b/>
              </w:rPr>
            </w:pPr>
          </w:p>
        </w:tc>
        <w:tc>
          <w:tcPr>
            <w:tcW w:w="5279" w:type="dxa"/>
            <w:tcBorders>
              <w:bottom w:val="single" w:sz="4" w:space="0" w:color="auto"/>
            </w:tcBorders>
            <w:shd w:val="clear" w:color="auto" w:fill="DBC1E5"/>
          </w:tcPr>
          <w:p w14:paraId="2E497433" w14:textId="1EEDA5FE" w:rsidR="00CE3709" w:rsidRDefault="001236AF" w:rsidP="004003A4">
            <w:pPr>
              <w:rPr>
                <w:rFonts w:ascii="Calibri" w:hAnsi="Calibri" w:cs="Calibri"/>
              </w:rPr>
            </w:pPr>
            <w:r>
              <w:rPr>
                <w:rFonts w:ascii="Calibri" w:hAnsi="Calibri" w:cs="Calibri"/>
                <w:b/>
              </w:rPr>
              <w:t xml:space="preserve">3.6 </w:t>
            </w:r>
            <w:r w:rsidR="00CE3709">
              <w:rPr>
                <w:rFonts w:ascii="Calibri" w:hAnsi="Calibri" w:cs="Calibri"/>
              </w:rPr>
              <w:t>Sentence Planning Review Meeting (Indeterminate sentences for move to open estate)</w:t>
            </w:r>
            <w:r w:rsidR="009518DD">
              <w:rPr>
                <w:rFonts w:ascii="Calibri" w:hAnsi="Calibri" w:cs="Calibri"/>
              </w:rPr>
              <w:t xml:space="preserve"> and SPRE</w:t>
            </w:r>
            <w:r w:rsidR="004003A4">
              <w:rPr>
                <w:rFonts w:ascii="Calibri" w:hAnsi="Calibri" w:cs="Calibri"/>
              </w:rPr>
              <w:t xml:space="preserve"> and SPR</w:t>
            </w:r>
            <w:r w:rsidR="00CE3709">
              <w:rPr>
                <w:rFonts w:ascii="Calibri" w:hAnsi="Calibri" w:cs="Calibri"/>
              </w:rPr>
              <w:t xml:space="preserve">L reports for parole. Where it is not possible to interview a prisoner, reports for Parole should be </w:t>
            </w:r>
            <w:r w:rsidR="00CE3709" w:rsidRPr="00715C9F">
              <w:rPr>
                <w:rFonts w:ascii="Calibri" w:hAnsi="Calibri" w:cs="Calibri"/>
              </w:rPr>
              <w:t>completed using existing assessments</w:t>
            </w:r>
            <w:r w:rsidR="00CE3709">
              <w:rPr>
                <w:rFonts w:ascii="Calibri" w:hAnsi="Calibri" w:cs="Calibri"/>
              </w:rPr>
              <w:t xml:space="preserve"> and </w:t>
            </w:r>
            <w:r w:rsidR="00CE3709" w:rsidRPr="00715C9F">
              <w:rPr>
                <w:rFonts w:ascii="Calibri" w:hAnsi="Calibri" w:cs="Calibri"/>
              </w:rPr>
              <w:t>any new information available on quantum systems</w:t>
            </w:r>
            <w:r w:rsidR="00CE3709">
              <w:rPr>
                <w:rFonts w:ascii="Calibri" w:hAnsi="Calibri" w:cs="Calibri"/>
              </w:rPr>
              <w:t xml:space="preserve"> and in conjunction with the </w:t>
            </w:r>
            <w:r w:rsidR="00CE3709" w:rsidRPr="00715C9F">
              <w:rPr>
                <w:rFonts w:ascii="Calibri" w:hAnsi="Calibri" w:cs="Calibri"/>
              </w:rPr>
              <w:t>Community Offender Manager</w:t>
            </w:r>
            <w:r w:rsidR="00CE3709">
              <w:rPr>
                <w:rFonts w:ascii="Calibri" w:hAnsi="Calibri" w:cs="Calibri"/>
              </w:rPr>
              <w:t xml:space="preserve">. The COM should be </w:t>
            </w:r>
            <w:r w:rsidR="00CE3709" w:rsidRPr="00715C9F">
              <w:rPr>
                <w:rFonts w:ascii="Calibri" w:hAnsi="Calibri" w:cs="Calibri"/>
              </w:rPr>
              <w:t xml:space="preserve">able to utilise Video Conferencing Facilities to interview the prisoner </w:t>
            </w:r>
            <w:r w:rsidR="00CE3709">
              <w:rPr>
                <w:rFonts w:ascii="Calibri" w:hAnsi="Calibri" w:cs="Calibri"/>
              </w:rPr>
              <w:t xml:space="preserve">for the Parole Report </w:t>
            </w:r>
            <w:r w:rsidR="00CE3709" w:rsidRPr="00715C9F">
              <w:rPr>
                <w:rFonts w:ascii="Calibri" w:hAnsi="Calibri" w:cs="Calibri"/>
              </w:rPr>
              <w:t xml:space="preserve">and make an informed </w:t>
            </w:r>
            <w:r w:rsidR="00CE3709" w:rsidRPr="00715C9F">
              <w:rPr>
                <w:rFonts w:ascii="Calibri" w:hAnsi="Calibri" w:cs="Calibri"/>
              </w:rPr>
              <w:lastRenderedPageBreak/>
              <w:t>recommendation.</w:t>
            </w:r>
            <w:r w:rsidR="004003A4">
              <w:rPr>
                <w:rFonts w:ascii="Calibri" w:hAnsi="Calibri" w:cs="Calibri"/>
              </w:rPr>
              <w:t xml:space="preserve"> </w:t>
            </w:r>
            <w:r w:rsidR="00656A5F">
              <w:rPr>
                <w:rFonts w:ascii="Calibri" w:hAnsi="Calibri" w:cs="Calibri"/>
              </w:rPr>
              <w:t>Psychology Services will require prisoner access to report provis</w:t>
            </w:r>
            <w:r w:rsidR="003714F2">
              <w:rPr>
                <w:rFonts w:ascii="Calibri" w:hAnsi="Calibri" w:cs="Calibri"/>
              </w:rPr>
              <w:t xml:space="preserve">ion. The mode of this may vary depending on the case/assessment required. </w:t>
            </w:r>
          </w:p>
          <w:p w14:paraId="52FB8525" w14:textId="77777777" w:rsidR="009417D2" w:rsidRPr="006928BB" w:rsidRDefault="009929E7" w:rsidP="004003A4">
            <w:r>
              <w:t>Parole Hearings should be progressed using available technology.</w:t>
            </w:r>
          </w:p>
        </w:tc>
        <w:tc>
          <w:tcPr>
            <w:tcW w:w="1156" w:type="dxa"/>
            <w:shd w:val="clear" w:color="auto" w:fill="DBC1E5"/>
          </w:tcPr>
          <w:p w14:paraId="162FB443" w14:textId="77777777" w:rsidR="00CE3709" w:rsidRPr="00C466E1" w:rsidRDefault="00F75983" w:rsidP="00C466E1">
            <w:pPr>
              <w:jc w:val="center"/>
              <w:rPr>
                <w:b/>
              </w:rPr>
            </w:pPr>
            <w:r w:rsidRPr="00C466E1">
              <w:rPr>
                <w:b/>
              </w:rPr>
              <w:lastRenderedPageBreak/>
              <w:t>3</w:t>
            </w:r>
          </w:p>
        </w:tc>
        <w:tc>
          <w:tcPr>
            <w:tcW w:w="1796" w:type="dxa"/>
            <w:shd w:val="clear" w:color="auto" w:fill="DBC1E5"/>
          </w:tcPr>
          <w:p w14:paraId="3F231D52" w14:textId="77777777" w:rsidR="00CE3709" w:rsidRDefault="00443669" w:rsidP="00443669">
            <w:pPr>
              <w:jc w:val="center"/>
              <w:rPr>
                <w:b/>
              </w:rPr>
            </w:pPr>
            <w:r>
              <w:rPr>
                <w:b/>
              </w:rPr>
              <w:t>Limited</w:t>
            </w:r>
          </w:p>
        </w:tc>
        <w:tc>
          <w:tcPr>
            <w:tcW w:w="4227" w:type="dxa"/>
            <w:shd w:val="clear" w:color="auto" w:fill="DBC1E5"/>
          </w:tcPr>
          <w:p w14:paraId="4128A85C" w14:textId="77777777" w:rsidR="00B0106B" w:rsidRPr="00B0106B" w:rsidRDefault="002F671C" w:rsidP="00B0106B">
            <w:pPr>
              <w:jc w:val="both"/>
              <w:rPr>
                <w:b/>
                <w:u w:val="single"/>
              </w:rPr>
            </w:pPr>
            <w:hyperlink r:id="rId33" w:history="1">
              <w:r w:rsidR="00B0106B" w:rsidRPr="00B0106B">
                <w:rPr>
                  <w:rStyle w:val="Hyperlink"/>
                  <w:b/>
                </w:rPr>
                <w:t>Parole</w:t>
              </w:r>
            </w:hyperlink>
          </w:p>
          <w:p w14:paraId="4FCF9588" w14:textId="77777777" w:rsidR="00CE3709" w:rsidRPr="00CF79F3" w:rsidRDefault="00CE3709" w:rsidP="00467D4B">
            <w:pPr>
              <w:jc w:val="both"/>
            </w:pPr>
          </w:p>
        </w:tc>
      </w:tr>
      <w:tr w:rsidR="004F10D7" w14:paraId="73765EED" w14:textId="77777777" w:rsidTr="001146E4">
        <w:trPr>
          <w:trHeight w:val="1535"/>
        </w:trPr>
        <w:tc>
          <w:tcPr>
            <w:tcW w:w="1779" w:type="dxa"/>
            <w:vMerge/>
            <w:shd w:val="clear" w:color="auto" w:fill="DBC1E5"/>
          </w:tcPr>
          <w:p w14:paraId="7B8B872F" w14:textId="77777777" w:rsidR="004F10D7" w:rsidRDefault="004F10D7" w:rsidP="00467D4B">
            <w:pPr>
              <w:jc w:val="both"/>
              <w:rPr>
                <w:b/>
              </w:rPr>
            </w:pPr>
          </w:p>
        </w:tc>
        <w:tc>
          <w:tcPr>
            <w:tcW w:w="5279" w:type="dxa"/>
            <w:shd w:val="clear" w:color="auto" w:fill="DBC1E5"/>
          </w:tcPr>
          <w:p w14:paraId="32CE111C" w14:textId="77777777" w:rsidR="004F10D7" w:rsidRPr="006928BB" w:rsidRDefault="004F10D7" w:rsidP="0097422C">
            <w:r w:rsidRPr="004F10D7">
              <w:rPr>
                <w:rFonts w:ascii="Calibri" w:hAnsi="Calibri" w:cs="Calibri"/>
                <w:b/>
              </w:rPr>
              <w:t>3.7</w:t>
            </w:r>
            <w:r>
              <w:rPr>
                <w:rFonts w:ascii="Calibri" w:hAnsi="Calibri" w:cs="Calibri"/>
              </w:rPr>
              <w:t xml:space="preserve"> Recall discussion to take place between POM and COM via agree</w:t>
            </w:r>
            <w:r w:rsidR="00F75983">
              <w:rPr>
                <w:rFonts w:ascii="Calibri" w:hAnsi="Calibri" w:cs="Calibri"/>
              </w:rPr>
              <w:t>d</w:t>
            </w:r>
            <w:r>
              <w:rPr>
                <w:rFonts w:ascii="Calibri" w:hAnsi="Calibri" w:cs="Calibri"/>
              </w:rPr>
              <w:t xml:space="preserve"> technology pathway and c</w:t>
            </w:r>
            <w:r w:rsidRPr="00715C9F">
              <w:rPr>
                <w:rFonts w:ascii="Calibri" w:hAnsi="Calibri" w:cs="Calibri"/>
              </w:rPr>
              <w:t xml:space="preserve">ommunication with the prisoner regarding </w:t>
            </w:r>
            <w:r>
              <w:rPr>
                <w:rFonts w:ascii="Calibri" w:hAnsi="Calibri" w:cs="Calibri"/>
              </w:rPr>
              <w:t xml:space="preserve">Part B report and any representations to </w:t>
            </w:r>
            <w:r w:rsidRPr="00715C9F">
              <w:rPr>
                <w:rFonts w:ascii="Calibri" w:hAnsi="Calibri" w:cs="Calibri"/>
              </w:rPr>
              <w:t>be carried out by a method agreed locally by each prison SMT</w:t>
            </w:r>
            <w:r>
              <w:rPr>
                <w:rFonts w:ascii="Calibri" w:hAnsi="Calibri" w:cs="Calibri"/>
              </w:rPr>
              <w:t>.</w:t>
            </w:r>
          </w:p>
        </w:tc>
        <w:tc>
          <w:tcPr>
            <w:tcW w:w="1156" w:type="dxa"/>
            <w:tcBorders>
              <w:bottom w:val="single" w:sz="4" w:space="0" w:color="auto"/>
            </w:tcBorders>
            <w:shd w:val="clear" w:color="auto" w:fill="DBC1E5"/>
          </w:tcPr>
          <w:p w14:paraId="26731C8A" w14:textId="77777777" w:rsidR="004F10D7" w:rsidRPr="00C466E1" w:rsidRDefault="004E2679" w:rsidP="00C466E1">
            <w:pPr>
              <w:jc w:val="center"/>
              <w:rPr>
                <w:b/>
              </w:rPr>
            </w:pPr>
            <w:r w:rsidRPr="00C466E1">
              <w:rPr>
                <w:b/>
              </w:rPr>
              <w:t>2</w:t>
            </w:r>
          </w:p>
        </w:tc>
        <w:tc>
          <w:tcPr>
            <w:tcW w:w="1796" w:type="dxa"/>
            <w:tcBorders>
              <w:bottom w:val="single" w:sz="4" w:space="0" w:color="auto"/>
            </w:tcBorders>
            <w:shd w:val="clear" w:color="auto" w:fill="DBC1E5"/>
          </w:tcPr>
          <w:p w14:paraId="291AAAE8" w14:textId="77777777" w:rsidR="00443669" w:rsidRDefault="00443669" w:rsidP="004F10D7">
            <w:pPr>
              <w:jc w:val="center"/>
              <w:rPr>
                <w:b/>
              </w:rPr>
            </w:pPr>
            <w:r>
              <w:rPr>
                <w:b/>
              </w:rPr>
              <w:t>Partial</w:t>
            </w:r>
          </w:p>
        </w:tc>
        <w:tc>
          <w:tcPr>
            <w:tcW w:w="4227" w:type="dxa"/>
            <w:tcBorders>
              <w:bottom w:val="single" w:sz="4" w:space="0" w:color="auto"/>
            </w:tcBorders>
            <w:shd w:val="clear" w:color="auto" w:fill="DBC1E5"/>
          </w:tcPr>
          <w:p w14:paraId="7F1B58C6" w14:textId="77777777" w:rsidR="004F7F86" w:rsidRPr="004F7F86" w:rsidRDefault="002F671C" w:rsidP="004F7F86">
            <w:pPr>
              <w:jc w:val="both"/>
              <w:rPr>
                <w:b/>
                <w:u w:val="single"/>
              </w:rPr>
            </w:pPr>
            <w:hyperlink r:id="rId34" w:history="1">
              <w:r w:rsidR="004F7F86" w:rsidRPr="004F7F86">
                <w:rPr>
                  <w:rStyle w:val="Hyperlink"/>
                  <w:b/>
                </w:rPr>
                <w:t>Recall</w:t>
              </w:r>
            </w:hyperlink>
          </w:p>
          <w:p w14:paraId="5729A39B" w14:textId="77777777" w:rsidR="004F10D7" w:rsidRPr="00CF79F3" w:rsidRDefault="004F10D7" w:rsidP="004F10D7"/>
        </w:tc>
      </w:tr>
      <w:tr w:rsidR="004F10D7" w14:paraId="165F87E5" w14:textId="77777777" w:rsidTr="001146E4">
        <w:tc>
          <w:tcPr>
            <w:tcW w:w="1779" w:type="dxa"/>
            <w:shd w:val="clear" w:color="auto" w:fill="C092D2"/>
          </w:tcPr>
          <w:p w14:paraId="1F24A056" w14:textId="7E1489BE" w:rsidR="004F10D7" w:rsidRDefault="004F10D7" w:rsidP="004F10D7">
            <w:pPr>
              <w:rPr>
                <w:b/>
              </w:rPr>
            </w:pPr>
            <w:r>
              <w:rPr>
                <w:b/>
              </w:rPr>
              <w:t xml:space="preserve">4. </w:t>
            </w:r>
            <w:r w:rsidR="007E61DB">
              <w:rPr>
                <w:b/>
              </w:rPr>
              <w:t>Tasks that support case management delivery</w:t>
            </w:r>
          </w:p>
        </w:tc>
        <w:tc>
          <w:tcPr>
            <w:tcW w:w="5279" w:type="dxa"/>
            <w:tcBorders>
              <w:bottom w:val="single" w:sz="4" w:space="0" w:color="auto"/>
            </w:tcBorders>
            <w:shd w:val="clear" w:color="auto" w:fill="C092D2"/>
          </w:tcPr>
          <w:p w14:paraId="5B27CEFE" w14:textId="77777777" w:rsidR="004F10D7" w:rsidRDefault="004F10D7" w:rsidP="004F10D7">
            <w:pPr>
              <w:rPr>
                <w:rFonts w:ascii="Calibri" w:hAnsi="Calibri" w:cs="Calibri"/>
              </w:rPr>
            </w:pPr>
            <w:r w:rsidRPr="00D075B4">
              <w:rPr>
                <w:b/>
              </w:rPr>
              <w:t>4.1</w:t>
            </w:r>
            <w:r>
              <w:rPr>
                <w:b/>
              </w:rPr>
              <w:t xml:space="preserve"> </w:t>
            </w:r>
            <w:r>
              <w:rPr>
                <w:rFonts w:ascii="Calibri" w:hAnsi="Calibri" w:cs="Calibri"/>
              </w:rPr>
              <w:t>Tasks which support the OMU are completed and communicated to all relevant OMU staff and any actions followed up by the POM.</w:t>
            </w:r>
          </w:p>
          <w:p w14:paraId="213CD89E" w14:textId="77777777" w:rsidR="004F10D7" w:rsidRDefault="004F10D7" w:rsidP="004F10D7">
            <w:pPr>
              <w:rPr>
                <w:rFonts w:ascii="Calibri" w:hAnsi="Calibri" w:cs="Calibri"/>
              </w:rPr>
            </w:pPr>
          </w:p>
          <w:p w14:paraId="364EDFEB"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Licence/discharge paperwork</w:t>
            </w:r>
          </w:p>
          <w:p w14:paraId="0AF10EE5"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 xml:space="preserve">HDC/ROTL </w:t>
            </w:r>
          </w:p>
          <w:p w14:paraId="5CD51678"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Sentence calculation</w:t>
            </w:r>
          </w:p>
          <w:p w14:paraId="75CBEB08" w14:textId="69910655"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BCST</w:t>
            </w:r>
            <w:r w:rsidR="0030241A">
              <w:rPr>
                <w:rFonts w:ascii="Calibri" w:hAnsi="Calibri" w:cs="Calibri"/>
              </w:rPr>
              <w:t xml:space="preserve"> 1 and 2</w:t>
            </w:r>
          </w:p>
          <w:p w14:paraId="2B049243"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Custody office functions</w:t>
            </w:r>
          </w:p>
          <w:p w14:paraId="696BCDA8"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Bail and supported accommodation for HDC</w:t>
            </w:r>
          </w:p>
          <w:p w14:paraId="67BDA482"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PNC</w:t>
            </w:r>
          </w:p>
          <w:p w14:paraId="715D0071"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Confiscations orders</w:t>
            </w:r>
          </w:p>
          <w:p w14:paraId="17E6DA80" w14:textId="1EF52E3C" w:rsidR="004F10D7" w:rsidRDefault="004F10D7" w:rsidP="004F10D7">
            <w:pPr>
              <w:pStyle w:val="ListParagraph"/>
              <w:numPr>
                <w:ilvl w:val="0"/>
                <w:numId w:val="35"/>
              </w:numPr>
              <w:rPr>
                <w:rFonts w:ascii="Calibri" w:hAnsi="Calibri" w:cs="Calibri"/>
              </w:rPr>
            </w:pPr>
            <w:proofErr w:type="spellStart"/>
            <w:r w:rsidRPr="009367AE">
              <w:rPr>
                <w:rFonts w:ascii="Calibri" w:hAnsi="Calibri" w:cs="Calibri"/>
              </w:rPr>
              <w:t>ViSoR</w:t>
            </w:r>
            <w:proofErr w:type="spellEnd"/>
          </w:p>
          <w:p w14:paraId="3EFB75CF" w14:textId="4B609C0C" w:rsidR="002104BB" w:rsidRPr="009367AE" w:rsidRDefault="002104BB" w:rsidP="004F10D7">
            <w:pPr>
              <w:pStyle w:val="ListParagraph"/>
              <w:numPr>
                <w:ilvl w:val="0"/>
                <w:numId w:val="35"/>
              </w:numPr>
              <w:rPr>
                <w:rFonts w:ascii="Calibri" w:hAnsi="Calibri" w:cs="Calibri"/>
              </w:rPr>
            </w:pPr>
            <w:r>
              <w:rPr>
                <w:rFonts w:ascii="Calibri" w:hAnsi="Calibri" w:cs="Calibri"/>
              </w:rPr>
              <w:t>ACCT</w:t>
            </w:r>
          </w:p>
          <w:p w14:paraId="0E592643" w14:textId="77777777" w:rsidR="004F10D7" w:rsidRPr="00CD7784" w:rsidRDefault="004F10D7" w:rsidP="004F10D7">
            <w:pPr>
              <w:pStyle w:val="ListParagraph"/>
              <w:numPr>
                <w:ilvl w:val="0"/>
                <w:numId w:val="35"/>
              </w:numPr>
              <w:rPr>
                <w:rFonts w:cstheme="minorHAnsi"/>
              </w:rPr>
            </w:pPr>
            <w:r w:rsidRPr="00CD7784">
              <w:rPr>
                <w:rFonts w:cstheme="minorHAnsi"/>
              </w:rPr>
              <w:t xml:space="preserve">LISP1s –parole eligible determinates and extended sentences should be prioritised however, indeterminates should be actioned where possible. </w:t>
            </w:r>
          </w:p>
          <w:p w14:paraId="0D1D8FF1" w14:textId="77777777" w:rsidR="004F10D7" w:rsidRPr="006928BB" w:rsidRDefault="004F10D7" w:rsidP="004F10D7">
            <w:pPr>
              <w:jc w:val="both"/>
            </w:pPr>
          </w:p>
        </w:tc>
        <w:tc>
          <w:tcPr>
            <w:tcW w:w="1156" w:type="dxa"/>
            <w:tcBorders>
              <w:bottom w:val="single" w:sz="4" w:space="0" w:color="auto"/>
            </w:tcBorders>
            <w:shd w:val="clear" w:color="auto" w:fill="C092D2"/>
          </w:tcPr>
          <w:p w14:paraId="4227BB7C" w14:textId="77777777" w:rsidR="004F10D7" w:rsidRPr="00C466E1" w:rsidRDefault="004E2679" w:rsidP="00C466E1">
            <w:pPr>
              <w:jc w:val="center"/>
              <w:rPr>
                <w:b/>
              </w:rPr>
            </w:pPr>
            <w:r w:rsidRPr="00C466E1">
              <w:rPr>
                <w:b/>
              </w:rPr>
              <w:t>3</w:t>
            </w:r>
          </w:p>
        </w:tc>
        <w:tc>
          <w:tcPr>
            <w:tcW w:w="1796" w:type="dxa"/>
            <w:tcBorders>
              <w:bottom w:val="single" w:sz="4" w:space="0" w:color="auto"/>
            </w:tcBorders>
            <w:shd w:val="clear" w:color="auto" w:fill="C092D2"/>
          </w:tcPr>
          <w:p w14:paraId="095060F6" w14:textId="77777777" w:rsidR="004F10D7" w:rsidRDefault="00443669" w:rsidP="004F10D7">
            <w:pPr>
              <w:jc w:val="center"/>
              <w:rPr>
                <w:b/>
              </w:rPr>
            </w:pPr>
            <w:r>
              <w:rPr>
                <w:b/>
              </w:rPr>
              <w:t>Limited</w:t>
            </w:r>
          </w:p>
        </w:tc>
        <w:tc>
          <w:tcPr>
            <w:tcW w:w="4227" w:type="dxa"/>
            <w:tcBorders>
              <w:bottom w:val="single" w:sz="4" w:space="0" w:color="auto"/>
            </w:tcBorders>
            <w:shd w:val="clear" w:color="auto" w:fill="C092D2"/>
          </w:tcPr>
          <w:p w14:paraId="6BA479D5" w14:textId="77777777" w:rsidR="006D5998" w:rsidRPr="00CF79F3" w:rsidRDefault="006D5998" w:rsidP="006D5998">
            <w:pPr>
              <w:jc w:val="both"/>
            </w:pPr>
            <w:proofErr w:type="spellStart"/>
            <w:r>
              <w:t>OMiC</w:t>
            </w:r>
            <w:proofErr w:type="spellEnd"/>
            <w:r>
              <w:t xml:space="preserve"> </w:t>
            </w:r>
            <w:proofErr w:type="spellStart"/>
            <w:r>
              <w:t>EQuiP</w:t>
            </w:r>
            <w:proofErr w:type="spellEnd"/>
            <w:r>
              <w:t xml:space="preserve"> provides mapping for all listed processes.</w:t>
            </w:r>
          </w:p>
          <w:p w14:paraId="1FE2D0A0" w14:textId="77777777" w:rsidR="004F10D7" w:rsidRDefault="004F10D7" w:rsidP="004F10D7">
            <w:pPr>
              <w:rPr>
                <w:rFonts w:ascii="Calibri" w:hAnsi="Calibri" w:cs="Calibri"/>
              </w:rPr>
            </w:pPr>
          </w:p>
          <w:p w14:paraId="5B6A417F" w14:textId="77777777" w:rsidR="004F10D7" w:rsidRPr="00CF79F3" w:rsidRDefault="004F10D7" w:rsidP="004F10D7">
            <w:pPr>
              <w:jc w:val="both"/>
            </w:pPr>
          </w:p>
        </w:tc>
      </w:tr>
      <w:tr w:rsidR="004F10D7" w14:paraId="133E1FC4" w14:textId="77777777" w:rsidTr="001146E4">
        <w:trPr>
          <w:trHeight w:val="1069"/>
        </w:trPr>
        <w:tc>
          <w:tcPr>
            <w:tcW w:w="1779" w:type="dxa"/>
            <w:vMerge w:val="restart"/>
            <w:shd w:val="clear" w:color="auto" w:fill="DBC1E5"/>
          </w:tcPr>
          <w:p w14:paraId="69ED1F1A" w14:textId="77777777" w:rsidR="004F10D7" w:rsidRDefault="004F10D7" w:rsidP="004F10D7">
            <w:pPr>
              <w:jc w:val="both"/>
              <w:rPr>
                <w:b/>
              </w:rPr>
            </w:pPr>
            <w:r>
              <w:rPr>
                <w:b/>
              </w:rPr>
              <w:lastRenderedPageBreak/>
              <w:t xml:space="preserve"> 5. Exceptional OMU tasks</w:t>
            </w:r>
          </w:p>
        </w:tc>
        <w:tc>
          <w:tcPr>
            <w:tcW w:w="5279" w:type="dxa"/>
            <w:shd w:val="clear" w:color="auto" w:fill="DBC1E5"/>
          </w:tcPr>
          <w:p w14:paraId="48CF0A27" w14:textId="7BC8FA28" w:rsidR="00BC65B9" w:rsidRDefault="00BC65B9" w:rsidP="00BC65B9">
            <w:pPr>
              <w:rPr>
                <w:rFonts w:ascii="Calibri" w:hAnsi="Calibri" w:cs="Calibri"/>
              </w:rPr>
            </w:pPr>
            <w:r w:rsidRPr="00CF79F3">
              <w:rPr>
                <w:b/>
              </w:rPr>
              <w:t>5.</w:t>
            </w:r>
            <w:r>
              <w:rPr>
                <w:b/>
              </w:rPr>
              <w:t xml:space="preserve">1 </w:t>
            </w:r>
            <w:r>
              <w:rPr>
                <w:rFonts w:ascii="Calibri" w:hAnsi="Calibri" w:cs="Calibri"/>
              </w:rPr>
              <w:t>COVID – SPL</w:t>
            </w:r>
            <w:r w:rsidR="006C472B">
              <w:rPr>
                <w:rFonts w:ascii="Calibri" w:hAnsi="Calibri" w:cs="Calibri"/>
              </w:rPr>
              <w:t xml:space="preserve"> ROTL Compassionate Grounds</w:t>
            </w:r>
            <w:r>
              <w:rPr>
                <w:rFonts w:ascii="Calibri" w:hAnsi="Calibri" w:cs="Calibri"/>
              </w:rPr>
              <w:t>: To coordinate the ROTL Board dossier, contribute to all relevant forms, update the OASys, liaise with COM and VLO and undertake any enforcement action where necessary.</w:t>
            </w:r>
          </w:p>
          <w:p w14:paraId="49C54E9D" w14:textId="77777777" w:rsidR="004F10D7" w:rsidRPr="00CF79F3" w:rsidRDefault="004F10D7" w:rsidP="004F10D7">
            <w:pPr>
              <w:jc w:val="both"/>
            </w:pPr>
          </w:p>
        </w:tc>
        <w:tc>
          <w:tcPr>
            <w:tcW w:w="1156" w:type="dxa"/>
            <w:shd w:val="clear" w:color="auto" w:fill="DBC1E5"/>
          </w:tcPr>
          <w:p w14:paraId="3165ABB6" w14:textId="77777777" w:rsidR="004F10D7" w:rsidRPr="00C466E1" w:rsidRDefault="004E2679" w:rsidP="00C466E1">
            <w:pPr>
              <w:jc w:val="center"/>
              <w:rPr>
                <w:b/>
              </w:rPr>
            </w:pPr>
            <w:r w:rsidRPr="00C466E1">
              <w:rPr>
                <w:b/>
              </w:rPr>
              <w:t>3</w:t>
            </w:r>
          </w:p>
        </w:tc>
        <w:tc>
          <w:tcPr>
            <w:tcW w:w="1796" w:type="dxa"/>
            <w:shd w:val="clear" w:color="auto" w:fill="DBC1E5"/>
          </w:tcPr>
          <w:p w14:paraId="24793452" w14:textId="77777777" w:rsidR="004F10D7" w:rsidRDefault="00443669" w:rsidP="004F10D7">
            <w:pPr>
              <w:jc w:val="center"/>
              <w:rPr>
                <w:b/>
              </w:rPr>
            </w:pPr>
            <w:r>
              <w:rPr>
                <w:b/>
              </w:rPr>
              <w:t>Limited</w:t>
            </w:r>
          </w:p>
        </w:tc>
        <w:tc>
          <w:tcPr>
            <w:tcW w:w="4227" w:type="dxa"/>
            <w:shd w:val="clear" w:color="auto" w:fill="DBC1E5"/>
          </w:tcPr>
          <w:p w14:paraId="58D8E10A" w14:textId="77777777" w:rsidR="004F10D7" w:rsidRPr="00204534" w:rsidRDefault="00204534" w:rsidP="00BC65B9">
            <w:pPr>
              <w:rPr>
                <w:rFonts w:cstheme="minorHAnsi"/>
              </w:rPr>
            </w:pPr>
            <w:r w:rsidRPr="00204534">
              <w:rPr>
                <w:rFonts w:eastAsia="Times New Roman" w:cstheme="minorHAnsi"/>
                <w:lang w:eastAsia="en-GB"/>
              </w:rPr>
              <w:t>Exceptional Delivery Model for ECTR/ROTL and SPL ROTL</w:t>
            </w:r>
          </w:p>
        </w:tc>
      </w:tr>
      <w:tr w:rsidR="004F10D7" w14:paraId="6D8E49E2" w14:textId="77777777" w:rsidTr="001146E4">
        <w:trPr>
          <w:trHeight w:val="670"/>
        </w:trPr>
        <w:tc>
          <w:tcPr>
            <w:tcW w:w="1779" w:type="dxa"/>
            <w:vMerge/>
            <w:shd w:val="clear" w:color="auto" w:fill="DBC1E5"/>
          </w:tcPr>
          <w:p w14:paraId="51556197" w14:textId="77777777" w:rsidR="004F10D7" w:rsidRDefault="004F10D7" w:rsidP="004F10D7">
            <w:pPr>
              <w:jc w:val="both"/>
              <w:rPr>
                <w:b/>
              </w:rPr>
            </w:pPr>
          </w:p>
        </w:tc>
        <w:tc>
          <w:tcPr>
            <w:tcW w:w="5279" w:type="dxa"/>
            <w:shd w:val="clear" w:color="auto" w:fill="DBC1E5"/>
          </w:tcPr>
          <w:p w14:paraId="538DD152" w14:textId="32AEBE24" w:rsidR="004F10D7" w:rsidRPr="00CF79F3" w:rsidRDefault="00BC65B9" w:rsidP="004F10D7">
            <w:pPr>
              <w:rPr>
                <w:b/>
              </w:rPr>
            </w:pPr>
            <w:r>
              <w:rPr>
                <w:b/>
              </w:rPr>
              <w:t xml:space="preserve">5.2 </w:t>
            </w:r>
            <w:r>
              <w:rPr>
                <w:rFonts w:ascii="Calibri" w:hAnsi="Calibri" w:cs="Calibri"/>
              </w:rPr>
              <w:t xml:space="preserve">COVID </w:t>
            </w:r>
            <w:r w:rsidR="00077337">
              <w:rPr>
                <w:rFonts w:ascii="Calibri" w:hAnsi="Calibri" w:cs="Calibri"/>
              </w:rPr>
              <w:t>–</w:t>
            </w:r>
            <w:r>
              <w:rPr>
                <w:rFonts w:ascii="Calibri" w:hAnsi="Calibri" w:cs="Calibri"/>
              </w:rPr>
              <w:t xml:space="preserve"> </w:t>
            </w:r>
            <w:r w:rsidR="00077337">
              <w:rPr>
                <w:rFonts w:ascii="Calibri" w:hAnsi="Calibri" w:cs="Calibri"/>
              </w:rPr>
              <w:t>End of Custody Temporary Release Scheme (</w:t>
            </w:r>
            <w:r>
              <w:rPr>
                <w:rFonts w:ascii="Calibri" w:hAnsi="Calibri" w:cs="Calibri"/>
              </w:rPr>
              <w:t>ECTR</w:t>
            </w:r>
            <w:r w:rsidR="00077337">
              <w:rPr>
                <w:rFonts w:ascii="Calibri" w:hAnsi="Calibri" w:cs="Calibri"/>
              </w:rPr>
              <w:t>)</w:t>
            </w:r>
            <w:r>
              <w:rPr>
                <w:rFonts w:ascii="Calibri" w:hAnsi="Calibri" w:cs="Calibri"/>
              </w:rPr>
              <w:t xml:space="preserve">: To support any release arrangements as defined in the </w:t>
            </w:r>
            <w:proofErr w:type="spellStart"/>
            <w:r>
              <w:rPr>
                <w:rFonts w:ascii="Calibri" w:hAnsi="Calibri" w:cs="Calibri"/>
              </w:rPr>
              <w:t>EQuiP</w:t>
            </w:r>
            <w:proofErr w:type="spellEnd"/>
            <w:r>
              <w:rPr>
                <w:rFonts w:ascii="Calibri" w:hAnsi="Calibri" w:cs="Calibri"/>
              </w:rPr>
              <w:t xml:space="preserve"> maps</w:t>
            </w:r>
          </w:p>
        </w:tc>
        <w:tc>
          <w:tcPr>
            <w:tcW w:w="1156" w:type="dxa"/>
            <w:shd w:val="clear" w:color="auto" w:fill="DBC1E5"/>
          </w:tcPr>
          <w:p w14:paraId="02A40D1C" w14:textId="77777777" w:rsidR="004F10D7" w:rsidRPr="00C466E1" w:rsidRDefault="004E2679" w:rsidP="00C466E1">
            <w:pPr>
              <w:jc w:val="center"/>
              <w:rPr>
                <w:b/>
              </w:rPr>
            </w:pPr>
            <w:r w:rsidRPr="00C466E1">
              <w:rPr>
                <w:b/>
              </w:rPr>
              <w:t>3</w:t>
            </w:r>
          </w:p>
        </w:tc>
        <w:tc>
          <w:tcPr>
            <w:tcW w:w="1796" w:type="dxa"/>
            <w:shd w:val="clear" w:color="auto" w:fill="DBC1E5"/>
          </w:tcPr>
          <w:p w14:paraId="6A97A83C" w14:textId="77777777" w:rsidR="004F10D7" w:rsidRDefault="00443669" w:rsidP="004F10D7">
            <w:pPr>
              <w:jc w:val="center"/>
              <w:rPr>
                <w:b/>
              </w:rPr>
            </w:pPr>
            <w:r>
              <w:rPr>
                <w:b/>
              </w:rPr>
              <w:t>Limited</w:t>
            </w:r>
          </w:p>
        </w:tc>
        <w:tc>
          <w:tcPr>
            <w:tcW w:w="4227" w:type="dxa"/>
            <w:shd w:val="clear" w:color="auto" w:fill="DBC1E5"/>
          </w:tcPr>
          <w:p w14:paraId="571E076D" w14:textId="77777777" w:rsidR="00204534" w:rsidRPr="00204534" w:rsidRDefault="00204534" w:rsidP="00034FC4">
            <w:pPr>
              <w:jc w:val="both"/>
              <w:rPr>
                <w:rFonts w:cstheme="minorHAnsi"/>
              </w:rPr>
            </w:pPr>
            <w:r w:rsidRPr="00204534">
              <w:rPr>
                <w:rFonts w:eastAsia="Times New Roman" w:cstheme="minorHAnsi"/>
                <w:lang w:eastAsia="en-GB"/>
              </w:rPr>
              <w:t>Exceptional Delivery Model for ECTR/ROTL and SPL ROTL</w:t>
            </w:r>
          </w:p>
          <w:p w14:paraId="360FB438" w14:textId="77777777" w:rsidR="00204534" w:rsidRDefault="00204534" w:rsidP="00034FC4">
            <w:pPr>
              <w:jc w:val="both"/>
            </w:pPr>
          </w:p>
          <w:p w14:paraId="13819719" w14:textId="77777777" w:rsidR="004F10D7" w:rsidRDefault="002F671C" w:rsidP="00034FC4">
            <w:hyperlink r:id="rId35" w:history="1">
              <w:r w:rsidR="00034FC4">
                <w:rPr>
                  <w:rStyle w:val="Hyperlink"/>
                  <w:rFonts w:ascii="Calibri" w:hAnsi="Calibri" w:cs="Calibri"/>
                </w:rPr>
                <w:t>COVID19 ECTR</w:t>
              </w:r>
            </w:hyperlink>
          </w:p>
        </w:tc>
      </w:tr>
    </w:tbl>
    <w:p w14:paraId="06B55EF6" w14:textId="77777777" w:rsidR="00031785" w:rsidRPr="00FB77C7" w:rsidRDefault="00031785" w:rsidP="00087BCA">
      <w:pPr>
        <w:spacing w:before="240" w:line="240" w:lineRule="auto"/>
        <w:jc w:val="both"/>
        <w:rPr>
          <w:rFonts w:cstheme="minorHAnsi"/>
        </w:rPr>
      </w:pPr>
    </w:p>
    <w:sectPr w:rsidR="00031785" w:rsidRPr="00FB77C7" w:rsidSect="00087BC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0CF0" w14:textId="77777777" w:rsidR="000F65BB" w:rsidRDefault="000F65BB" w:rsidP="00780C73">
      <w:pPr>
        <w:spacing w:after="0" w:line="240" w:lineRule="auto"/>
      </w:pPr>
      <w:r>
        <w:separator/>
      </w:r>
    </w:p>
  </w:endnote>
  <w:endnote w:type="continuationSeparator" w:id="0">
    <w:p w14:paraId="73A66C17" w14:textId="77777777" w:rsidR="000F65BB" w:rsidRDefault="000F65BB" w:rsidP="0078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475972"/>
      <w:docPartObj>
        <w:docPartGallery w:val="Page Numbers (Bottom of Page)"/>
        <w:docPartUnique/>
      </w:docPartObj>
    </w:sdtPr>
    <w:sdtEndPr>
      <w:rPr>
        <w:noProof/>
      </w:rPr>
    </w:sdtEndPr>
    <w:sdtContent>
      <w:p w14:paraId="61F5120A" w14:textId="7DA99EE3" w:rsidR="00E46BF5" w:rsidRDefault="00E46BF5" w:rsidP="00F91483">
        <w:pPr>
          <w:pStyle w:val="Footer"/>
          <w:jc w:val="center"/>
        </w:pPr>
        <w:r>
          <w:fldChar w:fldCharType="begin"/>
        </w:r>
        <w:r>
          <w:instrText xml:space="preserve"> PAGE   \* MERGEFORMAT </w:instrText>
        </w:r>
        <w:r>
          <w:fldChar w:fldCharType="separate"/>
        </w:r>
        <w:r w:rsidR="002F671C">
          <w:rPr>
            <w:noProof/>
          </w:rPr>
          <w:t>12</w:t>
        </w:r>
        <w:r>
          <w:rPr>
            <w:noProof/>
          </w:rPr>
          <w:fldChar w:fldCharType="end"/>
        </w:r>
      </w:p>
    </w:sdtContent>
  </w:sdt>
  <w:p w14:paraId="11C1EBDE" w14:textId="77777777" w:rsidR="00E46BF5" w:rsidRDefault="00E4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ECD0" w14:textId="77777777" w:rsidR="00E46BF5" w:rsidRDefault="00E46BF5">
    <w:pPr>
      <w:pStyle w:val="Footer"/>
    </w:pPr>
    <w:r>
      <w:rPr>
        <w:noProof/>
        <w:lang w:eastAsia="en-GB"/>
      </w:rPr>
      <w:drawing>
        <wp:anchor distT="0" distB="1778" distL="114300" distR="114300" simplePos="0" relativeHeight="251656192" behindDoc="1" locked="1" layoutInCell="1" allowOverlap="1" wp14:anchorId="729B922F" wp14:editId="554417D3">
          <wp:simplePos x="0" y="0"/>
          <wp:positionH relativeFrom="page">
            <wp:align>left</wp:align>
          </wp:positionH>
          <wp:positionV relativeFrom="page">
            <wp:align>bottom</wp:align>
          </wp:positionV>
          <wp:extent cx="7560310" cy="2059432"/>
          <wp:effectExtent l="0" t="0" r="2540" b="0"/>
          <wp:wrapNone/>
          <wp:docPr id="12"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C01B" w14:textId="77777777" w:rsidR="000F65BB" w:rsidRDefault="000F65BB" w:rsidP="00780C73">
      <w:pPr>
        <w:spacing w:after="0" w:line="240" w:lineRule="auto"/>
      </w:pPr>
      <w:r>
        <w:separator/>
      </w:r>
    </w:p>
  </w:footnote>
  <w:footnote w:type="continuationSeparator" w:id="0">
    <w:p w14:paraId="23396F06" w14:textId="77777777" w:rsidR="000F65BB" w:rsidRDefault="000F65BB" w:rsidP="0078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030F" w14:textId="77777777" w:rsidR="00E46BF5" w:rsidRDefault="002F671C">
    <w:pPr>
      <w:pStyle w:val="Header"/>
    </w:pPr>
    <w:r>
      <w:rPr>
        <w:noProof/>
      </w:rPr>
      <w:pict w14:anchorId="1865D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868172" o:spid="_x0000_s2051" type="#_x0000_t136" alt="" style="position:absolute;margin-left:0;margin-top:0;width:442.1pt;height:265.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CFA2" w14:textId="011A1131" w:rsidR="00E46BF5" w:rsidRDefault="00E46BF5" w:rsidP="00ED1A94">
    <w:pPr>
      <w:pStyle w:val="Header"/>
      <w:tabs>
        <w:tab w:val="clear" w:pos="4513"/>
        <w:tab w:val="clear" w:pos="9026"/>
        <w:tab w:val="center" w:pos="4508"/>
      </w:tabs>
    </w:pPr>
    <w:r>
      <w:rPr>
        <w:noProof/>
        <w:lang w:eastAsia="en-GB"/>
      </w:rPr>
      <w:drawing>
        <wp:anchor distT="0" distB="0" distL="114300" distR="114300" simplePos="0" relativeHeight="251657216" behindDoc="1" locked="1" layoutInCell="1" allowOverlap="1" wp14:anchorId="65646327" wp14:editId="573CB272">
          <wp:simplePos x="0" y="0"/>
          <wp:positionH relativeFrom="page">
            <wp:align>left</wp:align>
          </wp:positionH>
          <wp:positionV relativeFrom="page">
            <wp:posOffset>1864995</wp:posOffset>
          </wp:positionV>
          <wp:extent cx="7560310" cy="6851015"/>
          <wp:effectExtent l="0" t="0" r="2540" b="0"/>
          <wp:wrapNone/>
          <wp:docPr id="10"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1" layoutInCell="1" allowOverlap="1" wp14:anchorId="4E96B31A" wp14:editId="0661D7AC">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11"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r w:rsidR="00ED1A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04"/>
    <w:multiLevelType w:val="hybridMultilevel"/>
    <w:tmpl w:val="C40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F33D5"/>
    <w:multiLevelType w:val="hybridMultilevel"/>
    <w:tmpl w:val="15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0B3D"/>
    <w:multiLevelType w:val="hybridMultilevel"/>
    <w:tmpl w:val="DBFE2CBC"/>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B6258"/>
    <w:multiLevelType w:val="hybridMultilevel"/>
    <w:tmpl w:val="137E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C3305"/>
    <w:multiLevelType w:val="hybridMultilevel"/>
    <w:tmpl w:val="F5903982"/>
    <w:lvl w:ilvl="0" w:tplc="2810413C">
      <w:numFmt w:val="bullet"/>
      <w:lvlText w:val="-"/>
      <w:lvlJc w:val="left"/>
      <w:pPr>
        <w:ind w:left="2204" w:hanging="360"/>
      </w:pPr>
      <w:rPr>
        <w:rFonts w:ascii="Calibri" w:eastAsiaTheme="minorHAnsi" w:hAnsi="Calibri" w:cs="Calibri"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2" w15:restartNumberingAfterBreak="0">
    <w:nsid w:val="54AF7A99"/>
    <w:multiLevelType w:val="hybridMultilevel"/>
    <w:tmpl w:val="136A0A40"/>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F122A"/>
    <w:multiLevelType w:val="hybridMultilevel"/>
    <w:tmpl w:val="8634DCB0"/>
    <w:lvl w:ilvl="0" w:tplc="B5447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E5A69"/>
    <w:multiLevelType w:val="hybridMultilevel"/>
    <w:tmpl w:val="6FB86370"/>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E0907"/>
    <w:multiLevelType w:val="hybridMultilevel"/>
    <w:tmpl w:val="1AE05814"/>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437C2"/>
    <w:multiLevelType w:val="hybridMultilevel"/>
    <w:tmpl w:val="7BD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96F60"/>
    <w:multiLevelType w:val="hybridMultilevel"/>
    <w:tmpl w:val="41B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97F5D"/>
    <w:multiLevelType w:val="hybridMultilevel"/>
    <w:tmpl w:val="EAD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E14531"/>
    <w:multiLevelType w:val="hybridMultilevel"/>
    <w:tmpl w:val="13E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26"/>
  </w:num>
  <w:num w:numId="4">
    <w:abstractNumId w:val="17"/>
  </w:num>
  <w:num w:numId="5">
    <w:abstractNumId w:val="11"/>
  </w:num>
  <w:num w:numId="6">
    <w:abstractNumId w:val="31"/>
  </w:num>
  <w:num w:numId="7">
    <w:abstractNumId w:val="4"/>
  </w:num>
  <w:num w:numId="8">
    <w:abstractNumId w:val="30"/>
  </w:num>
  <w:num w:numId="9">
    <w:abstractNumId w:val="12"/>
  </w:num>
  <w:num w:numId="10">
    <w:abstractNumId w:val="6"/>
  </w:num>
  <w:num w:numId="11">
    <w:abstractNumId w:val="9"/>
  </w:num>
  <w:num w:numId="12">
    <w:abstractNumId w:val="7"/>
  </w:num>
  <w:num w:numId="13">
    <w:abstractNumId w:val="14"/>
  </w:num>
  <w:num w:numId="14">
    <w:abstractNumId w:val="32"/>
  </w:num>
  <w:num w:numId="15">
    <w:abstractNumId w:val="8"/>
  </w:num>
  <w:num w:numId="16">
    <w:abstractNumId w:val="20"/>
  </w:num>
  <w:num w:numId="17">
    <w:abstractNumId w:val="34"/>
  </w:num>
  <w:num w:numId="18">
    <w:abstractNumId w:val="18"/>
  </w:num>
  <w:num w:numId="19">
    <w:abstractNumId w:val="10"/>
  </w:num>
  <w:num w:numId="20">
    <w:abstractNumId w:val="16"/>
  </w:num>
  <w:num w:numId="21">
    <w:abstractNumId w:val="15"/>
  </w:num>
  <w:num w:numId="22">
    <w:abstractNumId w:val="1"/>
  </w:num>
  <w:num w:numId="23">
    <w:abstractNumId w:val="3"/>
  </w:num>
  <w:num w:numId="24">
    <w:abstractNumId w:val="21"/>
  </w:num>
  <w:num w:numId="25">
    <w:abstractNumId w:val="22"/>
  </w:num>
  <w:num w:numId="26">
    <w:abstractNumId w:val="25"/>
  </w:num>
  <w:num w:numId="27">
    <w:abstractNumId w:val="24"/>
  </w:num>
  <w:num w:numId="28">
    <w:abstractNumId w:val="23"/>
  </w:num>
  <w:num w:numId="29">
    <w:abstractNumId w:val="28"/>
  </w:num>
  <w:num w:numId="30">
    <w:abstractNumId w:val="27"/>
  </w:num>
  <w:num w:numId="31">
    <w:abstractNumId w:val="33"/>
  </w:num>
  <w:num w:numId="32">
    <w:abstractNumId w:val="2"/>
  </w:num>
  <w:num w:numId="33">
    <w:abstractNumId w:val="29"/>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170D2"/>
    <w:rsid w:val="00031785"/>
    <w:rsid w:val="0003406D"/>
    <w:rsid w:val="000347EA"/>
    <w:rsid w:val="00034FC4"/>
    <w:rsid w:val="00040DDA"/>
    <w:rsid w:val="0004344B"/>
    <w:rsid w:val="00047C87"/>
    <w:rsid w:val="00051EAD"/>
    <w:rsid w:val="000565FC"/>
    <w:rsid w:val="000578FF"/>
    <w:rsid w:val="0006085C"/>
    <w:rsid w:val="00076FB6"/>
    <w:rsid w:val="00077337"/>
    <w:rsid w:val="000804B1"/>
    <w:rsid w:val="00087BCA"/>
    <w:rsid w:val="00095C33"/>
    <w:rsid w:val="00097D43"/>
    <w:rsid w:val="000A0320"/>
    <w:rsid w:val="000A0C06"/>
    <w:rsid w:val="000A4796"/>
    <w:rsid w:val="000B0F9A"/>
    <w:rsid w:val="000B243C"/>
    <w:rsid w:val="000B52C9"/>
    <w:rsid w:val="000B643F"/>
    <w:rsid w:val="000E7213"/>
    <w:rsid w:val="000F65BB"/>
    <w:rsid w:val="000F778F"/>
    <w:rsid w:val="00100AEE"/>
    <w:rsid w:val="00107323"/>
    <w:rsid w:val="00111A35"/>
    <w:rsid w:val="00112560"/>
    <w:rsid w:val="0011417F"/>
    <w:rsid w:val="001146E4"/>
    <w:rsid w:val="001209FC"/>
    <w:rsid w:val="001236AF"/>
    <w:rsid w:val="001238FF"/>
    <w:rsid w:val="0012661F"/>
    <w:rsid w:val="00133C7A"/>
    <w:rsid w:val="001361B4"/>
    <w:rsid w:val="001451E9"/>
    <w:rsid w:val="0014675E"/>
    <w:rsid w:val="00146B3A"/>
    <w:rsid w:val="001711DF"/>
    <w:rsid w:val="00174E1E"/>
    <w:rsid w:val="00175092"/>
    <w:rsid w:val="001808F1"/>
    <w:rsid w:val="00181356"/>
    <w:rsid w:val="001842C3"/>
    <w:rsid w:val="00190867"/>
    <w:rsid w:val="001B4F94"/>
    <w:rsid w:val="001B5C73"/>
    <w:rsid w:val="001C1DED"/>
    <w:rsid w:val="001C40E2"/>
    <w:rsid w:val="001D7859"/>
    <w:rsid w:val="001F4B2C"/>
    <w:rsid w:val="001F60F3"/>
    <w:rsid w:val="00204534"/>
    <w:rsid w:val="002104BB"/>
    <w:rsid w:val="002114FB"/>
    <w:rsid w:val="0021206D"/>
    <w:rsid w:val="00217798"/>
    <w:rsid w:val="00220E9D"/>
    <w:rsid w:val="002328EB"/>
    <w:rsid w:val="00236476"/>
    <w:rsid w:val="00242FD9"/>
    <w:rsid w:val="00245BD7"/>
    <w:rsid w:val="00252AA5"/>
    <w:rsid w:val="00254354"/>
    <w:rsid w:val="00274ADB"/>
    <w:rsid w:val="00275DE8"/>
    <w:rsid w:val="002800C2"/>
    <w:rsid w:val="00280ACB"/>
    <w:rsid w:val="0028731E"/>
    <w:rsid w:val="002930D1"/>
    <w:rsid w:val="002A2A32"/>
    <w:rsid w:val="002A34B3"/>
    <w:rsid w:val="002C55A9"/>
    <w:rsid w:val="002C7260"/>
    <w:rsid w:val="002D16BF"/>
    <w:rsid w:val="002D1A14"/>
    <w:rsid w:val="002E2A59"/>
    <w:rsid w:val="002E6775"/>
    <w:rsid w:val="002F5387"/>
    <w:rsid w:val="002F5A37"/>
    <w:rsid w:val="002F671C"/>
    <w:rsid w:val="0030241A"/>
    <w:rsid w:val="00303A2C"/>
    <w:rsid w:val="003057B7"/>
    <w:rsid w:val="00305D7B"/>
    <w:rsid w:val="0030699B"/>
    <w:rsid w:val="00315384"/>
    <w:rsid w:val="00333274"/>
    <w:rsid w:val="00343E17"/>
    <w:rsid w:val="003714F2"/>
    <w:rsid w:val="00377DCB"/>
    <w:rsid w:val="0038619C"/>
    <w:rsid w:val="003958C8"/>
    <w:rsid w:val="003A1A93"/>
    <w:rsid w:val="003A4C43"/>
    <w:rsid w:val="003A581D"/>
    <w:rsid w:val="003A7FB6"/>
    <w:rsid w:val="003B093C"/>
    <w:rsid w:val="003B1B3F"/>
    <w:rsid w:val="003B449B"/>
    <w:rsid w:val="003B57D0"/>
    <w:rsid w:val="003C4646"/>
    <w:rsid w:val="003C67C2"/>
    <w:rsid w:val="003D2258"/>
    <w:rsid w:val="003E3497"/>
    <w:rsid w:val="003E5B2F"/>
    <w:rsid w:val="003F73CD"/>
    <w:rsid w:val="0040034C"/>
    <w:rsid w:val="004003A4"/>
    <w:rsid w:val="004012DC"/>
    <w:rsid w:val="004044F2"/>
    <w:rsid w:val="00417BE1"/>
    <w:rsid w:val="00423E94"/>
    <w:rsid w:val="0042424B"/>
    <w:rsid w:val="00424FF1"/>
    <w:rsid w:val="00426E80"/>
    <w:rsid w:val="004358AF"/>
    <w:rsid w:val="00435AC2"/>
    <w:rsid w:val="00442065"/>
    <w:rsid w:val="004422B9"/>
    <w:rsid w:val="00443669"/>
    <w:rsid w:val="00454472"/>
    <w:rsid w:val="00466746"/>
    <w:rsid w:val="00467D4B"/>
    <w:rsid w:val="00480FD8"/>
    <w:rsid w:val="00485598"/>
    <w:rsid w:val="0049611F"/>
    <w:rsid w:val="004A3B90"/>
    <w:rsid w:val="004A4BAA"/>
    <w:rsid w:val="004A7200"/>
    <w:rsid w:val="004A744E"/>
    <w:rsid w:val="004B1D78"/>
    <w:rsid w:val="004B2F57"/>
    <w:rsid w:val="004C3F06"/>
    <w:rsid w:val="004D2C93"/>
    <w:rsid w:val="004D3CA0"/>
    <w:rsid w:val="004E1706"/>
    <w:rsid w:val="004E2679"/>
    <w:rsid w:val="004F10D7"/>
    <w:rsid w:val="004F7F86"/>
    <w:rsid w:val="0050619A"/>
    <w:rsid w:val="005151FA"/>
    <w:rsid w:val="005166D4"/>
    <w:rsid w:val="0052016F"/>
    <w:rsid w:val="0052622A"/>
    <w:rsid w:val="005262AF"/>
    <w:rsid w:val="0052636F"/>
    <w:rsid w:val="005276DE"/>
    <w:rsid w:val="005360A6"/>
    <w:rsid w:val="00541135"/>
    <w:rsid w:val="00553F24"/>
    <w:rsid w:val="00555C35"/>
    <w:rsid w:val="00557B1B"/>
    <w:rsid w:val="00564F74"/>
    <w:rsid w:val="00566D52"/>
    <w:rsid w:val="0059449D"/>
    <w:rsid w:val="00596FB0"/>
    <w:rsid w:val="005B2C88"/>
    <w:rsid w:val="005B67C8"/>
    <w:rsid w:val="005C070C"/>
    <w:rsid w:val="005C50E4"/>
    <w:rsid w:val="005C5271"/>
    <w:rsid w:val="005C7ADF"/>
    <w:rsid w:val="005D0DB5"/>
    <w:rsid w:val="005D5BFC"/>
    <w:rsid w:val="005E3DB1"/>
    <w:rsid w:val="005E49D1"/>
    <w:rsid w:val="005E6FC4"/>
    <w:rsid w:val="005F4F70"/>
    <w:rsid w:val="00601134"/>
    <w:rsid w:val="00620FED"/>
    <w:rsid w:val="00635376"/>
    <w:rsid w:val="006405A3"/>
    <w:rsid w:val="00641785"/>
    <w:rsid w:val="00643ECC"/>
    <w:rsid w:val="00651F30"/>
    <w:rsid w:val="00656A5F"/>
    <w:rsid w:val="00661B7B"/>
    <w:rsid w:val="006625C6"/>
    <w:rsid w:val="00674C7D"/>
    <w:rsid w:val="00691F10"/>
    <w:rsid w:val="006928BB"/>
    <w:rsid w:val="006A188D"/>
    <w:rsid w:val="006A2BF7"/>
    <w:rsid w:val="006A7F49"/>
    <w:rsid w:val="006B63A7"/>
    <w:rsid w:val="006C0D59"/>
    <w:rsid w:val="006C1503"/>
    <w:rsid w:val="006C3B2E"/>
    <w:rsid w:val="006C472B"/>
    <w:rsid w:val="006C55F0"/>
    <w:rsid w:val="006D5998"/>
    <w:rsid w:val="006E1404"/>
    <w:rsid w:val="006E6233"/>
    <w:rsid w:val="006E6C8F"/>
    <w:rsid w:val="00701B3D"/>
    <w:rsid w:val="007033C5"/>
    <w:rsid w:val="0071265A"/>
    <w:rsid w:val="00713386"/>
    <w:rsid w:val="00714593"/>
    <w:rsid w:val="00717ACD"/>
    <w:rsid w:val="007246FC"/>
    <w:rsid w:val="00731533"/>
    <w:rsid w:val="00734F84"/>
    <w:rsid w:val="007409A7"/>
    <w:rsid w:val="00743CB2"/>
    <w:rsid w:val="0074507C"/>
    <w:rsid w:val="00746CE4"/>
    <w:rsid w:val="0075300D"/>
    <w:rsid w:val="00761EA5"/>
    <w:rsid w:val="007635E8"/>
    <w:rsid w:val="007712E3"/>
    <w:rsid w:val="00771B79"/>
    <w:rsid w:val="00774CED"/>
    <w:rsid w:val="00776D89"/>
    <w:rsid w:val="00780C73"/>
    <w:rsid w:val="0078420F"/>
    <w:rsid w:val="007928BA"/>
    <w:rsid w:val="007B1134"/>
    <w:rsid w:val="007B79A7"/>
    <w:rsid w:val="007C73D2"/>
    <w:rsid w:val="007C7E9D"/>
    <w:rsid w:val="007D0216"/>
    <w:rsid w:val="007E056D"/>
    <w:rsid w:val="007E4227"/>
    <w:rsid w:val="007E61DB"/>
    <w:rsid w:val="007F413A"/>
    <w:rsid w:val="00801F35"/>
    <w:rsid w:val="00803874"/>
    <w:rsid w:val="00804FAC"/>
    <w:rsid w:val="008115A2"/>
    <w:rsid w:val="0081261A"/>
    <w:rsid w:val="00823EA5"/>
    <w:rsid w:val="008244C5"/>
    <w:rsid w:val="00845F1A"/>
    <w:rsid w:val="0085414D"/>
    <w:rsid w:val="0086412B"/>
    <w:rsid w:val="00864C8B"/>
    <w:rsid w:val="00871CBE"/>
    <w:rsid w:val="008766BA"/>
    <w:rsid w:val="00880EC8"/>
    <w:rsid w:val="00882F57"/>
    <w:rsid w:val="008839EF"/>
    <w:rsid w:val="008904CD"/>
    <w:rsid w:val="00894ED4"/>
    <w:rsid w:val="008A3ACB"/>
    <w:rsid w:val="008A5D50"/>
    <w:rsid w:val="008B3EE4"/>
    <w:rsid w:val="008C0E63"/>
    <w:rsid w:val="008C5907"/>
    <w:rsid w:val="008C7505"/>
    <w:rsid w:val="008D2CF6"/>
    <w:rsid w:val="008D4DD3"/>
    <w:rsid w:val="008D6F87"/>
    <w:rsid w:val="008E5EF0"/>
    <w:rsid w:val="008F7135"/>
    <w:rsid w:val="00901277"/>
    <w:rsid w:val="00902DF8"/>
    <w:rsid w:val="00907078"/>
    <w:rsid w:val="0091388C"/>
    <w:rsid w:val="00914ACC"/>
    <w:rsid w:val="00935344"/>
    <w:rsid w:val="009417D2"/>
    <w:rsid w:val="009518DD"/>
    <w:rsid w:val="00954BB6"/>
    <w:rsid w:val="00956313"/>
    <w:rsid w:val="0096011E"/>
    <w:rsid w:val="00971D81"/>
    <w:rsid w:val="00973E52"/>
    <w:rsid w:val="0097422C"/>
    <w:rsid w:val="00985CC7"/>
    <w:rsid w:val="009870C8"/>
    <w:rsid w:val="009929E7"/>
    <w:rsid w:val="009A0EA0"/>
    <w:rsid w:val="009A3C92"/>
    <w:rsid w:val="009C3FD8"/>
    <w:rsid w:val="009D597B"/>
    <w:rsid w:val="009E0F99"/>
    <w:rsid w:val="009E1558"/>
    <w:rsid w:val="009E5E38"/>
    <w:rsid w:val="009F0E0F"/>
    <w:rsid w:val="009F7C72"/>
    <w:rsid w:val="00A11321"/>
    <w:rsid w:val="00A30F0B"/>
    <w:rsid w:val="00A40320"/>
    <w:rsid w:val="00A52824"/>
    <w:rsid w:val="00A55D0A"/>
    <w:rsid w:val="00A61A91"/>
    <w:rsid w:val="00A624CE"/>
    <w:rsid w:val="00A643E6"/>
    <w:rsid w:val="00A75C1E"/>
    <w:rsid w:val="00A764DE"/>
    <w:rsid w:val="00A772E2"/>
    <w:rsid w:val="00A801A5"/>
    <w:rsid w:val="00A808EC"/>
    <w:rsid w:val="00A85233"/>
    <w:rsid w:val="00A93624"/>
    <w:rsid w:val="00A94DF6"/>
    <w:rsid w:val="00AB0906"/>
    <w:rsid w:val="00AB2CE8"/>
    <w:rsid w:val="00AC0EA2"/>
    <w:rsid w:val="00AE284E"/>
    <w:rsid w:val="00AF27E4"/>
    <w:rsid w:val="00B0106B"/>
    <w:rsid w:val="00B03E60"/>
    <w:rsid w:val="00B1121A"/>
    <w:rsid w:val="00B12D73"/>
    <w:rsid w:val="00B1561C"/>
    <w:rsid w:val="00B21A2F"/>
    <w:rsid w:val="00B22212"/>
    <w:rsid w:val="00B2329B"/>
    <w:rsid w:val="00B25BBF"/>
    <w:rsid w:val="00B30156"/>
    <w:rsid w:val="00B36A08"/>
    <w:rsid w:val="00B378C1"/>
    <w:rsid w:val="00B74A9D"/>
    <w:rsid w:val="00B77E6A"/>
    <w:rsid w:val="00B833CE"/>
    <w:rsid w:val="00B860AE"/>
    <w:rsid w:val="00B91BF6"/>
    <w:rsid w:val="00B92D27"/>
    <w:rsid w:val="00B9485D"/>
    <w:rsid w:val="00B95C89"/>
    <w:rsid w:val="00BA0699"/>
    <w:rsid w:val="00BA362F"/>
    <w:rsid w:val="00BC4017"/>
    <w:rsid w:val="00BC50D7"/>
    <w:rsid w:val="00BC5317"/>
    <w:rsid w:val="00BC541C"/>
    <w:rsid w:val="00BC65B9"/>
    <w:rsid w:val="00BE0D00"/>
    <w:rsid w:val="00BE4118"/>
    <w:rsid w:val="00BE7A04"/>
    <w:rsid w:val="00BF57E1"/>
    <w:rsid w:val="00C0083A"/>
    <w:rsid w:val="00C03D4F"/>
    <w:rsid w:val="00C059EB"/>
    <w:rsid w:val="00C065B0"/>
    <w:rsid w:val="00C06D2F"/>
    <w:rsid w:val="00C134FA"/>
    <w:rsid w:val="00C14809"/>
    <w:rsid w:val="00C21231"/>
    <w:rsid w:val="00C21DC2"/>
    <w:rsid w:val="00C2431C"/>
    <w:rsid w:val="00C25616"/>
    <w:rsid w:val="00C3206C"/>
    <w:rsid w:val="00C32134"/>
    <w:rsid w:val="00C447AD"/>
    <w:rsid w:val="00C45EB5"/>
    <w:rsid w:val="00C466E1"/>
    <w:rsid w:val="00C46DA2"/>
    <w:rsid w:val="00C52AD7"/>
    <w:rsid w:val="00C56999"/>
    <w:rsid w:val="00C70A80"/>
    <w:rsid w:val="00C73C04"/>
    <w:rsid w:val="00C772E4"/>
    <w:rsid w:val="00C819EB"/>
    <w:rsid w:val="00C8632F"/>
    <w:rsid w:val="00C87BBC"/>
    <w:rsid w:val="00C96CDD"/>
    <w:rsid w:val="00CA18F1"/>
    <w:rsid w:val="00CA1AB6"/>
    <w:rsid w:val="00CA1DD2"/>
    <w:rsid w:val="00CA5895"/>
    <w:rsid w:val="00CA67B9"/>
    <w:rsid w:val="00CA7215"/>
    <w:rsid w:val="00CB5A28"/>
    <w:rsid w:val="00CC3E9E"/>
    <w:rsid w:val="00CD0D5C"/>
    <w:rsid w:val="00CE0594"/>
    <w:rsid w:val="00CE0C00"/>
    <w:rsid w:val="00CE3709"/>
    <w:rsid w:val="00CE6124"/>
    <w:rsid w:val="00CF0B61"/>
    <w:rsid w:val="00CF557C"/>
    <w:rsid w:val="00CF79F3"/>
    <w:rsid w:val="00CF7C0A"/>
    <w:rsid w:val="00D01543"/>
    <w:rsid w:val="00D030BA"/>
    <w:rsid w:val="00D033DF"/>
    <w:rsid w:val="00D05062"/>
    <w:rsid w:val="00D05A32"/>
    <w:rsid w:val="00D0659B"/>
    <w:rsid w:val="00D075B4"/>
    <w:rsid w:val="00D1164E"/>
    <w:rsid w:val="00D11ECD"/>
    <w:rsid w:val="00D2183C"/>
    <w:rsid w:val="00D23BC9"/>
    <w:rsid w:val="00D414AB"/>
    <w:rsid w:val="00D41F29"/>
    <w:rsid w:val="00D47FF7"/>
    <w:rsid w:val="00D52279"/>
    <w:rsid w:val="00D60E51"/>
    <w:rsid w:val="00D651DA"/>
    <w:rsid w:val="00D7743D"/>
    <w:rsid w:val="00D77487"/>
    <w:rsid w:val="00D77B1D"/>
    <w:rsid w:val="00D90784"/>
    <w:rsid w:val="00DA35DB"/>
    <w:rsid w:val="00DA50A8"/>
    <w:rsid w:val="00DA6105"/>
    <w:rsid w:val="00DB129E"/>
    <w:rsid w:val="00DB3A05"/>
    <w:rsid w:val="00DC1398"/>
    <w:rsid w:val="00DC64DD"/>
    <w:rsid w:val="00DD08D9"/>
    <w:rsid w:val="00DD1E12"/>
    <w:rsid w:val="00DD26A1"/>
    <w:rsid w:val="00DF0B37"/>
    <w:rsid w:val="00E0045A"/>
    <w:rsid w:val="00E05538"/>
    <w:rsid w:val="00E10141"/>
    <w:rsid w:val="00E1066C"/>
    <w:rsid w:val="00E13965"/>
    <w:rsid w:val="00E406A4"/>
    <w:rsid w:val="00E4345E"/>
    <w:rsid w:val="00E46BF5"/>
    <w:rsid w:val="00E47015"/>
    <w:rsid w:val="00E50522"/>
    <w:rsid w:val="00E50E67"/>
    <w:rsid w:val="00E51F6D"/>
    <w:rsid w:val="00E7186B"/>
    <w:rsid w:val="00E815C4"/>
    <w:rsid w:val="00E81DC9"/>
    <w:rsid w:val="00E85AF1"/>
    <w:rsid w:val="00EA089E"/>
    <w:rsid w:val="00EA106C"/>
    <w:rsid w:val="00EA577A"/>
    <w:rsid w:val="00EB50DD"/>
    <w:rsid w:val="00EB5EDE"/>
    <w:rsid w:val="00EB77FD"/>
    <w:rsid w:val="00EC0974"/>
    <w:rsid w:val="00EC1FE8"/>
    <w:rsid w:val="00EC4A0E"/>
    <w:rsid w:val="00EC7C81"/>
    <w:rsid w:val="00ED1A94"/>
    <w:rsid w:val="00ED7001"/>
    <w:rsid w:val="00EF263C"/>
    <w:rsid w:val="00EF4973"/>
    <w:rsid w:val="00EF6215"/>
    <w:rsid w:val="00EF734A"/>
    <w:rsid w:val="00F15391"/>
    <w:rsid w:val="00F2044C"/>
    <w:rsid w:val="00F211BD"/>
    <w:rsid w:val="00F30D16"/>
    <w:rsid w:val="00F32726"/>
    <w:rsid w:val="00F37B39"/>
    <w:rsid w:val="00F37C19"/>
    <w:rsid w:val="00F41807"/>
    <w:rsid w:val="00F41F32"/>
    <w:rsid w:val="00F42569"/>
    <w:rsid w:val="00F47ABF"/>
    <w:rsid w:val="00F53E1E"/>
    <w:rsid w:val="00F540C5"/>
    <w:rsid w:val="00F550F7"/>
    <w:rsid w:val="00F648AC"/>
    <w:rsid w:val="00F75983"/>
    <w:rsid w:val="00F76A7A"/>
    <w:rsid w:val="00F90C5D"/>
    <w:rsid w:val="00F91483"/>
    <w:rsid w:val="00F924A0"/>
    <w:rsid w:val="00F958C9"/>
    <w:rsid w:val="00FB77C7"/>
    <w:rsid w:val="00FC1E0E"/>
    <w:rsid w:val="00FC6233"/>
    <w:rsid w:val="00FD12FE"/>
    <w:rsid w:val="00FD4969"/>
    <w:rsid w:val="00FF32B6"/>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549CC5"/>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paragraph" w:styleId="FootnoteText">
    <w:name w:val="footnote text"/>
    <w:basedOn w:val="Normal"/>
    <w:link w:val="FootnoteTextChar"/>
    <w:uiPriority w:val="99"/>
    <w:semiHidden/>
    <w:unhideWhenUsed/>
    <w:rsid w:val="00A75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C1E"/>
    <w:rPr>
      <w:sz w:val="20"/>
      <w:szCs w:val="20"/>
    </w:rPr>
  </w:style>
  <w:style w:type="character" w:styleId="FootnoteReference">
    <w:name w:val="footnote reference"/>
    <w:basedOn w:val="DefaultParagraphFont"/>
    <w:uiPriority w:val="99"/>
    <w:semiHidden/>
    <w:unhideWhenUsed/>
    <w:rsid w:val="00A75C1E"/>
    <w:rPr>
      <w:vertAlign w:val="superscript"/>
    </w:rPr>
  </w:style>
  <w:style w:type="character" w:styleId="Hyperlink">
    <w:name w:val="Hyperlink"/>
    <w:basedOn w:val="DefaultParagraphFont"/>
    <w:uiPriority w:val="99"/>
    <w:unhideWhenUsed/>
    <w:rsid w:val="008115A2"/>
    <w:rPr>
      <w:color w:val="0563C1" w:themeColor="hyperlink"/>
      <w:u w:val="single"/>
    </w:rPr>
  </w:style>
  <w:style w:type="character" w:customStyle="1" w:styleId="UnresolvedMention1">
    <w:name w:val="Unresolved Mention1"/>
    <w:basedOn w:val="DefaultParagraphFont"/>
    <w:uiPriority w:val="99"/>
    <w:semiHidden/>
    <w:unhideWhenUsed/>
    <w:rsid w:val="005C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48235993">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73957">
      <w:bodyDiv w:val="1"/>
      <w:marLeft w:val="0"/>
      <w:marRight w:val="0"/>
      <w:marTop w:val="0"/>
      <w:marBottom w:val="0"/>
      <w:divBdr>
        <w:top w:val="none" w:sz="0" w:space="0" w:color="auto"/>
        <w:left w:val="none" w:sz="0" w:space="0" w:color="auto"/>
        <w:bottom w:val="none" w:sz="0" w:space="0" w:color="auto"/>
        <w:right w:val="none" w:sz="0" w:space="0" w:color="auto"/>
      </w:divBdr>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1888446487">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quip-portal.rocstac.com/CtrlWebIsapi.dll/?__id=webDiagram.show&amp;map=0%3A9A63E167DE4B400EA07F81A9271E1944&amp;dgm=1C1C7ABA94D34A2890D0810236E34B71" TargetMode="External"/><Relationship Id="rId26" Type="http://schemas.openxmlformats.org/officeDocument/2006/relationships/hyperlink" Target="https://equip-portal.rocstac.com/CtrlWebIsapi.dll/?__id=webDiagram.show&amp;map=0%3A9A63E167DE4B400EA07F81A9271E1944&amp;dgm=B1965CA201794DD9891221F0C962CA6D" TargetMode="External"/><Relationship Id="rId3" Type="http://schemas.openxmlformats.org/officeDocument/2006/relationships/customXml" Target="../customXml/item3.xml"/><Relationship Id="rId21" Type="http://schemas.openxmlformats.org/officeDocument/2006/relationships/hyperlink" Target="https://equip-portal.rocstac.com/CtrlWebIsapi.dll/?__id=webDiagram.show&amp;map=0%3A9A63E167DE4B400EA07F81A9271E1944&amp;dgm=23D5334C62E9444B872174C61BE38FD0" TargetMode="External"/><Relationship Id="rId34" Type="http://schemas.openxmlformats.org/officeDocument/2006/relationships/hyperlink" Target="https://equip-portal.rocstac.com/CtrlWebIsapi.dll/?__id=webDiagram.show&amp;map=0%3A9A63E167DE4B400EA07F81A9271E1944&amp;dgm=719C142C5137472792C9D5A63412D26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quip-portal.rocstac.com/CtrlWebIsapi.dll/?__id=webDiagram.show&amp;map=0%3A9A63E167DE4B400EA07F81A9271E1944&amp;dgm=1C11A78F446D4F1C82FE253627D3F892" TargetMode="External"/><Relationship Id="rId25" Type="http://schemas.openxmlformats.org/officeDocument/2006/relationships/hyperlink" Target="https://equip-portal.rocstac.com/CtrlWebIsapi.dll/?__id=webDiagram.show&amp;map=0%3A9A63E167DE4B400EA07F81A9271E1944&amp;dgm=E2104EE48F024A5E977A52C3FDCAE8AC" TargetMode="External"/><Relationship Id="rId33" Type="http://schemas.openxmlformats.org/officeDocument/2006/relationships/hyperlink" Target="https://equip-portal.rocstac.com/CtrlWebIsapi.dll/?__id=webDiagram.show&amp;map=0%3A9A63E167DE4B400EA07F81A9271E1944&amp;dgm=8724697ACB8C46D8B4AA6282434237CE" TargetMode="External"/><Relationship Id="rId2" Type="http://schemas.openxmlformats.org/officeDocument/2006/relationships/customXml" Target="../customXml/item2.xml"/><Relationship Id="rId16" Type="http://schemas.openxmlformats.org/officeDocument/2006/relationships/hyperlink" Target="https://equip-portal.rocstac.com/CtrlWebIsapi.dll/?__id=webDiagram.show&amp;map=0%3A9A63E167DE4B400EA07F81A9271E1944&amp;dgm=D73CB4F8B2194506A1095012B4CE6374" TargetMode="External"/><Relationship Id="rId20" Type="http://schemas.openxmlformats.org/officeDocument/2006/relationships/hyperlink" Target="https://equip-portal.rocstac.com/CtrlWebIsapi.dll/?__id=webDiagram.show&amp;map=0%3A9A63E167DE4B400EA07F81A9271E1944&amp;dgm=14DCD393F3764EF795D54CB496801944" TargetMode="External"/><Relationship Id="rId29" Type="http://schemas.openxmlformats.org/officeDocument/2006/relationships/hyperlink" Target="https://equip-portal.rocstac.com/CtrlWebIsapi.dll/?__id=webDiagram.show&amp;map=0%3A9A63E167DE4B400EA07F81A9271E1944&amp;dgm=EDF6402399934EC9B5E04AE0C1A7BC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quip-portal.rocstac.com/CtrlWebIsapi.dll/?__id=webDiagram.show&amp;map=0%3A9A63E167DE4B400EA07F81A9271E1944&amp;dgm=D72C09CF7A03494EA9BACFBEB78B7B5F" TargetMode="External"/><Relationship Id="rId32" Type="http://schemas.openxmlformats.org/officeDocument/2006/relationships/hyperlink" Target="https://equip-portal.rocstac.com/CtrlWebIsapi.dll/?__id=webDiagram.show&amp;map=0%3A9A63E167DE4B400EA07F81A9271E1944&amp;dgm=C09C31EA7B5A4F37B5053CAF62AE8DF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quip-portal.rocstac.com/CtrlWebIsapi.dll/?__id=webDiagram.show&amp;map=0%3A9A63E167DE4B400EA07F81A9271E1944&amp;dgm=52714BF72DB54D5DB02FCA5F34CA623C" TargetMode="External"/><Relationship Id="rId23" Type="http://schemas.openxmlformats.org/officeDocument/2006/relationships/hyperlink" Target="https://equip-portal.rocstac.com/CtrlWebIsapi.dll/?__id=webDiagram.show&amp;map=0%3A9A63E167DE4B400EA07F81A9271E1944&amp;dgm=52714BF72DB54D5DB02FCA5F34CA623C" TargetMode="External"/><Relationship Id="rId28" Type="http://schemas.openxmlformats.org/officeDocument/2006/relationships/hyperlink" Target="https://equip-portal.rocstac.com/CtrlWebIsapi.dll/?__id=webDiagram.show&amp;map=0%3A9A63E167DE4B400EA07F81A9271E1944&amp;dgm=F668C1E93BD744EA917EE836057A3AB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quip-portal.rocstac.com/CtrlWebIsapi.dll/?__id=webDiagram.show&amp;map=0%3A9A63E167DE4B400EA07F81A9271E1944&amp;dgm=1C1C7ABA94D34A2890D0810236E34B71" TargetMode="External"/><Relationship Id="rId31" Type="http://schemas.openxmlformats.org/officeDocument/2006/relationships/hyperlink" Target="https://equip-portal.rocstac.com/CtrlWebIsapi.dll/?__id=webDiagram.show&amp;map=0%3A9A63E167DE4B400EA07F81A9271E1944&amp;dgm=19F0E3FCB746467390BA1D53CFF6ED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quip-portal.rocstac.com/CtrlWebIsapi.dll/?__id=webDiagram.show&amp;map=0%3A9A63E167DE4B400EA07F81A9271E1944&amp;dgm=58705D66DA6748F68C1520896464DBA8" TargetMode="External"/><Relationship Id="rId27" Type="http://schemas.openxmlformats.org/officeDocument/2006/relationships/hyperlink" Target="https://equip-portal.rocstac.com/CtrlWebIsapi.dll/?__id=webDiagram.show&amp;map=0%3A9A63E167DE4B400EA07F81A9271E1944&amp;dgm=4F984B45CBC447B1A304B2FFECABB777" TargetMode="External"/><Relationship Id="rId30" Type="http://schemas.openxmlformats.org/officeDocument/2006/relationships/hyperlink" Target="https://equip-portal.rocstac.com/CtrlWebIsapi.dll/?__id=webDiagram.show&amp;map=0%3A9A63E167DE4B400EA07F81A9271E1944&amp;dgm=F637D243FBAC4282A0ABC7BE534A02D6" TargetMode="External"/><Relationship Id="rId35" Type="http://schemas.openxmlformats.org/officeDocument/2006/relationships/hyperlink" Target="https://equip-portal.rocstac.com/CtrlWebIsapi.dll/?__id=webDiagram.show&amp;map=0%3AFF2D8D3F16B44268B814F7F8177A16F7&amp;dgm=C2A9945D59504DF99B2F3BC9CAD6F25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78611F-4AB1-4E1A-B429-4F79C86E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2CE10-3B59-4264-9A05-CE285072CF92}">
  <ds:schemaRefs>
    <ds:schemaRef ds:uri="http://schemas.microsoft.com/office/2006/documentManagement/types"/>
    <ds:schemaRef ds:uri="http://schemas.microsoft.com/office/infopath/2007/PartnerControls"/>
    <ds:schemaRef ds:uri="5063a365-6283-4188-b242-7c93887165ec"/>
    <ds:schemaRef ds:uri="http://purl.org/dc/elements/1.1/"/>
    <ds:schemaRef ds:uri="http://schemas.microsoft.com/office/2006/metadata/properties"/>
    <ds:schemaRef ds:uri="http://purl.org/dc/terms/"/>
    <ds:schemaRef ds:uri="bcd0cf87-8fd9-4692-a0da-6c63d854522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E2431F-1895-4927-81CF-EFA34E03838B}">
  <ds:schemaRefs>
    <ds:schemaRef ds:uri="http://schemas.microsoft.com/sharepoint/v3/contenttype/forms"/>
  </ds:schemaRefs>
</ds:datastoreItem>
</file>

<file path=customXml/itemProps4.xml><?xml version="1.0" encoding="utf-8"?>
<ds:datastoreItem xmlns:ds="http://schemas.openxmlformats.org/officeDocument/2006/customXml" ds:itemID="{DA1E7BE1-DBA5-4C23-A701-AC039399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4</cp:revision>
  <dcterms:created xsi:type="dcterms:W3CDTF">2020-07-06T14:46:00Z</dcterms:created>
  <dcterms:modified xsi:type="dcterms:W3CDTF">2020-07-06T15:00:00Z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