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034"/>
      </w:tblGrid>
      <w:tr w:rsidR="00175092" w:rsidRPr="00C20562" w14:paraId="483F6D91" w14:textId="77777777" w:rsidTr="0061493A">
        <w:trPr>
          <w:trHeight w:hRule="exact" w:val="2796"/>
        </w:trPr>
        <w:tc>
          <w:tcPr>
            <w:tcW w:w="9468" w:type="dxa"/>
            <w:shd w:val="clear" w:color="auto" w:fill="auto"/>
          </w:tcPr>
          <w:p w14:paraId="63D92E32" w14:textId="77777777" w:rsidR="00832554" w:rsidRDefault="00832554" w:rsidP="0061493A">
            <w:pPr>
              <w:jc w:val="both"/>
            </w:pPr>
          </w:p>
          <w:p w14:paraId="1DCE131A" w14:textId="77777777" w:rsidR="00832554" w:rsidRPr="00832554" w:rsidRDefault="00832554" w:rsidP="00832554"/>
          <w:p w14:paraId="05BF853F" w14:textId="77777777" w:rsidR="00832554" w:rsidRPr="00832554" w:rsidRDefault="00832554" w:rsidP="00832554"/>
          <w:p w14:paraId="1F67693A" w14:textId="77777777" w:rsidR="00832554" w:rsidRPr="00832554" w:rsidRDefault="00832554" w:rsidP="00832554"/>
          <w:p w14:paraId="5D3C9768" w14:textId="77777777" w:rsidR="00832554" w:rsidRDefault="00832554" w:rsidP="00832554"/>
          <w:p w14:paraId="7889599A" w14:textId="77777777" w:rsidR="00175092" w:rsidRPr="00832554" w:rsidRDefault="00832554" w:rsidP="00832554">
            <w:pPr>
              <w:tabs>
                <w:tab w:val="left" w:pos="6538"/>
              </w:tabs>
            </w:pPr>
            <w:r>
              <w:tab/>
            </w:r>
          </w:p>
        </w:tc>
      </w:tr>
      <w:tr w:rsidR="00175092" w:rsidRPr="00550D4A" w14:paraId="2BF22F46" w14:textId="77777777" w:rsidTr="0061493A">
        <w:trPr>
          <w:trHeight w:hRule="exact" w:val="4253"/>
        </w:trPr>
        <w:tc>
          <w:tcPr>
            <w:tcW w:w="9468" w:type="dxa"/>
            <w:shd w:val="clear" w:color="auto" w:fill="auto"/>
          </w:tcPr>
          <w:p w14:paraId="445B40FF" w14:textId="77777777" w:rsidR="00BC541C" w:rsidRDefault="00BC541C" w:rsidP="00BC541C">
            <w:pPr>
              <w:pStyle w:val="CoverTitle"/>
              <w:rPr>
                <w:sz w:val="52"/>
                <w:szCs w:val="52"/>
              </w:rPr>
            </w:pPr>
            <w:r>
              <w:rPr>
                <w:sz w:val="52"/>
                <w:szCs w:val="52"/>
              </w:rPr>
              <w:t>Exceptional Delivery Model (EDM)</w:t>
            </w:r>
            <w:r w:rsidR="00857DEF">
              <w:rPr>
                <w:sz w:val="52"/>
                <w:szCs w:val="52"/>
              </w:rPr>
              <w:t xml:space="preserve"> 18</w:t>
            </w:r>
          </w:p>
          <w:p w14:paraId="7BD950FF" w14:textId="77777777" w:rsidR="00BC541C" w:rsidRDefault="005768FD" w:rsidP="005768FD">
            <w:pPr>
              <w:pStyle w:val="CoverTitle"/>
              <w:rPr>
                <w:sz w:val="52"/>
                <w:szCs w:val="52"/>
              </w:rPr>
            </w:pPr>
            <w:r>
              <w:rPr>
                <w:sz w:val="52"/>
                <w:szCs w:val="52"/>
              </w:rPr>
              <w:t xml:space="preserve">YCS </w:t>
            </w:r>
            <w:r w:rsidR="00832554">
              <w:rPr>
                <w:sz w:val="52"/>
                <w:szCs w:val="52"/>
              </w:rPr>
              <w:t xml:space="preserve">– </w:t>
            </w:r>
            <w:r>
              <w:rPr>
                <w:sz w:val="52"/>
                <w:szCs w:val="52"/>
              </w:rPr>
              <w:t>Resettlement</w:t>
            </w:r>
          </w:p>
          <w:p w14:paraId="5B054916" w14:textId="77777777" w:rsidR="00832554" w:rsidRDefault="00832554" w:rsidP="005768FD">
            <w:pPr>
              <w:pStyle w:val="CoverTitle"/>
              <w:rPr>
                <w:sz w:val="52"/>
                <w:szCs w:val="52"/>
              </w:rPr>
            </w:pPr>
            <w:r>
              <w:rPr>
                <w:sz w:val="52"/>
                <w:szCs w:val="52"/>
              </w:rPr>
              <w:t>Agreed Version 1.0</w:t>
            </w:r>
          </w:p>
          <w:p w14:paraId="74D1B3F8" w14:textId="77777777" w:rsidR="00832554" w:rsidRPr="00550D4A" w:rsidRDefault="00832554" w:rsidP="005768FD">
            <w:pPr>
              <w:pStyle w:val="CoverTitle"/>
            </w:pPr>
          </w:p>
        </w:tc>
      </w:tr>
      <w:tr w:rsidR="00175092" w:rsidRPr="00EA1B3A" w14:paraId="47A9327F" w14:textId="77777777" w:rsidTr="0061493A">
        <w:trPr>
          <w:trHeight w:hRule="exact" w:val="1985"/>
        </w:trPr>
        <w:tc>
          <w:tcPr>
            <w:tcW w:w="9468" w:type="dxa"/>
            <w:shd w:val="clear" w:color="auto" w:fill="auto"/>
          </w:tcPr>
          <w:p w14:paraId="050C65C7" w14:textId="77777777" w:rsidR="00175092" w:rsidRPr="006A79AE" w:rsidRDefault="00175092" w:rsidP="0061493A">
            <w:pPr>
              <w:pStyle w:val="CoverAuthor"/>
              <w:jc w:val="both"/>
              <w:rPr>
                <w:b/>
              </w:rPr>
            </w:pPr>
          </w:p>
        </w:tc>
      </w:tr>
      <w:tr w:rsidR="00175092" w:rsidRPr="00EA1B3A" w14:paraId="2F6D6AC8" w14:textId="77777777" w:rsidTr="0061493A">
        <w:tblPrEx>
          <w:tblCellMar>
            <w:left w:w="108" w:type="dxa"/>
            <w:right w:w="108" w:type="dxa"/>
          </w:tblCellMar>
        </w:tblPrEx>
        <w:tc>
          <w:tcPr>
            <w:tcW w:w="10286" w:type="dxa"/>
            <w:shd w:val="clear" w:color="auto" w:fill="auto"/>
          </w:tcPr>
          <w:p w14:paraId="41031C9C" w14:textId="77777777" w:rsidR="00175092" w:rsidRPr="006A79AE" w:rsidRDefault="00832554" w:rsidP="0061493A">
            <w:pPr>
              <w:pStyle w:val="CoverDate"/>
              <w:jc w:val="both"/>
              <w:rPr>
                <w:b/>
              </w:rPr>
            </w:pPr>
            <w:r>
              <w:rPr>
                <w:b/>
              </w:rPr>
              <w:t>3 July 2020</w:t>
            </w:r>
          </w:p>
        </w:tc>
      </w:tr>
    </w:tbl>
    <w:p w14:paraId="13A659E5" w14:textId="77777777" w:rsidR="00175092" w:rsidRDefault="00175092" w:rsidP="00175092">
      <w:pPr>
        <w:spacing w:after="0"/>
        <w:jc w:val="both"/>
        <w:sectPr w:rsidR="00175092" w:rsidSect="00175092">
          <w:headerReference w:type="even" r:id="rId11"/>
          <w:headerReference w:type="default" r:id="rId12"/>
          <w:footerReference w:type="even" r:id="rId13"/>
          <w:footerReference w:type="default" r:id="rId14"/>
          <w:headerReference w:type="first" r:id="rId15"/>
          <w:footerReference w:type="first" r:id="rId16"/>
          <w:pgSz w:w="11906" w:h="16838" w:code="9"/>
          <w:pgMar w:top="1531" w:right="851" w:bottom="1134" w:left="851" w:header="737" w:footer="227" w:gutter="170"/>
          <w:cols w:space="312"/>
          <w:titlePg/>
          <w:docGrid w:linePitch="360"/>
        </w:sectPr>
      </w:pPr>
      <w:r>
        <w:br w:type="page"/>
      </w:r>
    </w:p>
    <w:p w14:paraId="6FD3547F" w14:textId="77777777" w:rsidR="00177B61" w:rsidRPr="00177B61" w:rsidRDefault="00B22212" w:rsidP="00177B61">
      <w:pPr>
        <w:spacing w:after="0" w:line="240" w:lineRule="auto"/>
        <w:jc w:val="both"/>
        <w:rPr>
          <w:b/>
          <w:bCs/>
          <w:sz w:val="32"/>
          <w:u w:val="single"/>
        </w:rPr>
      </w:pPr>
      <w:r>
        <w:rPr>
          <w:b/>
          <w:sz w:val="32"/>
        </w:rPr>
        <w:lastRenderedPageBreak/>
        <w:t xml:space="preserve">HMPPS </w:t>
      </w:r>
      <w:r w:rsidR="00177B61" w:rsidRPr="00177B61">
        <w:rPr>
          <w:b/>
          <w:bCs/>
          <w:sz w:val="32"/>
        </w:rPr>
        <w:t>Regime Recovery Management Plans- RRMP</w:t>
      </w:r>
    </w:p>
    <w:p w14:paraId="195D6FB8" w14:textId="77777777" w:rsidR="00B22212" w:rsidRDefault="002A34B3" w:rsidP="002930D1">
      <w:pPr>
        <w:spacing w:after="0" w:line="240" w:lineRule="auto"/>
        <w:jc w:val="both"/>
        <w:rPr>
          <w:b/>
          <w:sz w:val="32"/>
        </w:rPr>
      </w:pPr>
      <w:r w:rsidRPr="00A52824">
        <w:rPr>
          <w:b/>
          <w:sz w:val="32"/>
        </w:rPr>
        <w:t>Exceptional Delivery Mode</w:t>
      </w:r>
      <w:r w:rsidR="00B22212">
        <w:rPr>
          <w:b/>
          <w:sz w:val="32"/>
        </w:rPr>
        <w:t>l (EDM)</w:t>
      </w:r>
    </w:p>
    <w:p w14:paraId="3093A8C2" w14:textId="77777777" w:rsidR="00B22212" w:rsidRPr="008766BA" w:rsidRDefault="00B22212" w:rsidP="002930D1">
      <w:pPr>
        <w:spacing w:after="0" w:line="240" w:lineRule="auto"/>
        <w:jc w:val="both"/>
        <w:rPr>
          <w:b/>
          <w:sz w:val="24"/>
          <w:szCs w:val="24"/>
        </w:rPr>
      </w:pPr>
    </w:p>
    <w:p w14:paraId="2BBDD5D2" w14:textId="77777777" w:rsidR="00641785" w:rsidRPr="00177B61" w:rsidRDefault="005768FD" w:rsidP="00177B61">
      <w:pPr>
        <w:spacing w:after="0" w:line="360" w:lineRule="auto"/>
        <w:jc w:val="both"/>
        <w:rPr>
          <w:b/>
          <w:sz w:val="32"/>
        </w:rPr>
      </w:pPr>
      <w:r>
        <w:rPr>
          <w:b/>
          <w:sz w:val="32"/>
        </w:rPr>
        <w:t>Resettlement</w:t>
      </w:r>
    </w:p>
    <w:p w14:paraId="2CC0ADBC" w14:textId="77777777" w:rsidR="00F90208" w:rsidRDefault="00F90208" w:rsidP="00780C73">
      <w:pPr>
        <w:spacing w:after="0" w:line="360" w:lineRule="auto"/>
        <w:jc w:val="both"/>
        <w:rPr>
          <w:b/>
          <w:sz w:val="24"/>
        </w:rPr>
      </w:pPr>
      <w:r>
        <w:rPr>
          <w:b/>
          <w:sz w:val="24"/>
        </w:rPr>
        <w:t>Introduction</w:t>
      </w:r>
    </w:p>
    <w:p w14:paraId="76D5D3F8" w14:textId="77777777" w:rsidR="00F90208" w:rsidRPr="00F90208" w:rsidRDefault="00F90208" w:rsidP="00F90208">
      <w:pPr>
        <w:jc w:val="both"/>
        <w:rPr>
          <w:rFonts w:cstheme="minorHAnsi"/>
        </w:rPr>
      </w:pPr>
      <w:r w:rsidRPr="00F90208">
        <w:rPr>
          <w:rFonts w:cstheme="minorHAnsi"/>
        </w:rPr>
        <w:t xml:space="preserve">A suite of EDMs are being published as part of the guidance for secure settings to guide them through construction of local RRMPs. This EDM is a brief guide on the high-level principles that must be incorporated into a local plan for each element of regime delivery. It is essential that the plan for reinstating an element of the regime does more than simply reintroduce the local procedures that pre-dated COVID measures. Each local plan must incorporate social distancing and </w:t>
      </w:r>
      <w:proofErr w:type="spellStart"/>
      <w:r w:rsidRPr="00F90208">
        <w:rPr>
          <w:rFonts w:cstheme="minorHAnsi"/>
        </w:rPr>
        <w:t>cohorting</w:t>
      </w:r>
      <w:proofErr w:type="spellEnd"/>
      <w:r w:rsidRPr="00F90208">
        <w:rPr>
          <w:rFonts w:cstheme="minorHAnsi"/>
        </w:rPr>
        <w:t xml:space="preserve"> measures, medical considerations, PPE and hygiene requirements (including regular hand-washing), as well as security and safety considerations. Each EDM will also guide secure settings on the most procedurally just way to stand up each regime element under continuing COVID restrictions. </w:t>
      </w:r>
    </w:p>
    <w:p w14:paraId="0431C6A9" w14:textId="77777777" w:rsidR="00F90208" w:rsidRPr="00F90208" w:rsidRDefault="00F90208" w:rsidP="00F90208">
      <w:pPr>
        <w:jc w:val="both"/>
        <w:rPr>
          <w:rFonts w:cstheme="minorHAnsi"/>
        </w:rPr>
      </w:pPr>
      <w:r w:rsidRPr="00F90208">
        <w:rPr>
          <w:rFonts w:cstheme="minorHAnsi"/>
        </w:rPr>
        <w:t xml:space="preserve">Each secure setting must create a plan for every element of regime that is relevant to their category and function based on the guidance in its respective EDM. Mirroring the approach taken during the development of ERMPs, secure settings have local autonomy to determine the formal and contents of each plan or procedure they produce from the EDMs but the RRP they complete summarising their local recovery proposal will be based on a template provided. </w:t>
      </w:r>
    </w:p>
    <w:p w14:paraId="049EF4B9" w14:textId="77777777" w:rsidR="00F90208" w:rsidRDefault="00F90208" w:rsidP="00F90208">
      <w:pPr>
        <w:jc w:val="both"/>
        <w:rPr>
          <w:rFonts w:cstheme="minorHAnsi"/>
        </w:rPr>
      </w:pPr>
      <w:r w:rsidRPr="00F90208">
        <w:rPr>
          <w:rFonts w:cstheme="minorHAnsi"/>
        </w:rPr>
        <w:t xml:space="preserve">This EDM has been developed jointly by policy and operational colleagues in conjunction with specific stakeholders relevant to each area. Each EDM breaks each regime element into a series of processes or areas. Under each one there are a set of baseline requirements which must be met by each secure setting. Every baseline requirement has an importance weighting from one (lowest) to three (highest) attributed to it, to assist secure settings in planning and sequencing activity required. Baselines are split into those that are mandatory and those that are desirable. Each baseline also has a “level of autonomy” attached. This describes the level of freedom a secure setting has over the design of the product/output required to satisfy each baseline. </w:t>
      </w:r>
    </w:p>
    <w:p w14:paraId="611F20F1" w14:textId="77777777" w:rsidR="00F90208" w:rsidRPr="002114FB" w:rsidRDefault="00F90208" w:rsidP="00F90208">
      <w:pPr>
        <w:spacing w:after="0" w:line="240" w:lineRule="auto"/>
        <w:jc w:val="both"/>
        <w:rPr>
          <w:rFonts w:cs="Arial"/>
          <w:b/>
        </w:rPr>
      </w:pPr>
      <w:r>
        <w:rPr>
          <w:rFonts w:cs="Arial"/>
          <w:b/>
        </w:rPr>
        <w:t>The EDM in relation to the delivery of Resettlement within the YCS Secure Estate</w:t>
      </w:r>
      <w:r w:rsidRPr="002114FB">
        <w:rPr>
          <w:rFonts w:cs="Arial"/>
          <w:b/>
        </w:rPr>
        <w:t xml:space="preserve"> is provided overleaf.</w:t>
      </w:r>
      <w:r>
        <w:rPr>
          <w:rFonts w:cs="Arial"/>
          <w:b/>
        </w:rPr>
        <w:t xml:space="preserve"> This advice will be updated as Government guidance evolves and any changes to HMPPS regimes are made over-all. This EDM needs to be considered in conjunction with the Professional Visits EDM.</w:t>
      </w:r>
    </w:p>
    <w:p w14:paraId="023F9F30" w14:textId="77777777" w:rsidR="00F90208" w:rsidRPr="00F90208" w:rsidRDefault="00F90208" w:rsidP="00F90208">
      <w:pPr>
        <w:jc w:val="both"/>
        <w:rPr>
          <w:rFonts w:cstheme="minorHAnsi"/>
        </w:rPr>
      </w:pPr>
    </w:p>
    <w:p w14:paraId="5DCA9B8C" w14:textId="77777777" w:rsidR="00F90208" w:rsidRPr="00F90208" w:rsidRDefault="00F90208" w:rsidP="00F90208">
      <w:pPr>
        <w:jc w:val="both"/>
        <w:rPr>
          <w:rFonts w:cstheme="minorHAnsi"/>
          <w:b/>
          <w:bCs/>
          <w:u w:val="single"/>
        </w:rPr>
      </w:pPr>
      <w:r w:rsidRPr="00F90208">
        <w:rPr>
          <w:rFonts w:cstheme="minorHAnsi"/>
          <w:b/>
          <w:sz w:val="24"/>
        </w:rPr>
        <w:t xml:space="preserve"> </w:t>
      </w:r>
      <w:r w:rsidRPr="00F90208">
        <w:rPr>
          <w:rFonts w:cstheme="minorHAnsi"/>
          <w:b/>
          <w:bCs/>
          <w:u w:val="single"/>
        </w:rPr>
        <w:t>Regime Recovery Management Plans- RRMP</w:t>
      </w:r>
    </w:p>
    <w:p w14:paraId="40BE4305" w14:textId="77777777" w:rsidR="0012661F" w:rsidRDefault="00BC4017" w:rsidP="0012661F">
      <w:pPr>
        <w:spacing w:after="0" w:line="240" w:lineRule="auto"/>
        <w:jc w:val="both"/>
        <w:rPr>
          <w:rFonts w:cs="Arial"/>
        </w:rPr>
      </w:pPr>
      <w:r w:rsidRPr="008766BA">
        <w:rPr>
          <w:rFonts w:eastAsia="Calibri" w:cs="Arial"/>
          <w:lang w:bidi="he-IL"/>
        </w:rPr>
        <w:t xml:space="preserve">In response to HM Government and Public Health England (PHE) guidance, </w:t>
      </w:r>
      <w:r w:rsidR="00E81DC9" w:rsidRPr="008766BA">
        <w:rPr>
          <w:rFonts w:eastAsia="Calibri" w:cs="Arial"/>
          <w:lang w:bidi="he-IL"/>
        </w:rPr>
        <w:t xml:space="preserve">HMPPS and </w:t>
      </w:r>
      <w:r w:rsidR="00051EAD" w:rsidRPr="00051EAD">
        <w:rPr>
          <w:rFonts w:eastAsia="Calibri" w:cs="Arial"/>
          <w:lang w:bidi="he-IL"/>
        </w:rPr>
        <w:t>The Ministry of J</w:t>
      </w:r>
      <w:r w:rsidR="00E81DC9" w:rsidRPr="008766BA">
        <w:rPr>
          <w:rFonts w:eastAsia="Calibri" w:cs="Arial"/>
          <w:lang w:bidi="he-IL"/>
        </w:rPr>
        <w:t xml:space="preserve">ustice (MoJ) </w:t>
      </w:r>
      <w:r w:rsidR="008766BA">
        <w:rPr>
          <w:rFonts w:eastAsia="Calibri" w:cs="Arial"/>
          <w:lang w:bidi="he-IL"/>
        </w:rPr>
        <w:t xml:space="preserve">have </w:t>
      </w:r>
      <w:r w:rsidR="00E81DC9" w:rsidRPr="008766BA">
        <w:rPr>
          <w:rFonts w:eastAsia="Calibri" w:cs="Arial"/>
          <w:lang w:bidi="he-IL"/>
        </w:rPr>
        <w:t xml:space="preserve">constructed a national </w:t>
      </w:r>
      <w:r w:rsidR="008766BA">
        <w:rPr>
          <w:rFonts w:eastAsia="Calibri" w:cs="Arial"/>
          <w:lang w:bidi="he-IL"/>
        </w:rPr>
        <w:t>Recovery F</w:t>
      </w:r>
      <w:r w:rsidR="00E81DC9" w:rsidRPr="008766BA">
        <w:rPr>
          <w:rFonts w:eastAsia="Calibri" w:cs="Arial"/>
          <w:lang w:bidi="he-IL"/>
        </w:rPr>
        <w:t>ramework</w:t>
      </w:r>
      <w:r w:rsidRPr="008766BA">
        <w:rPr>
          <w:rFonts w:eastAsia="Calibri" w:cs="Arial"/>
          <w:lang w:bidi="he-IL"/>
        </w:rPr>
        <w:t xml:space="preserve"> </w:t>
      </w:r>
      <w:r w:rsidR="008766BA">
        <w:rPr>
          <w:rFonts w:eastAsia="Calibri" w:cs="Arial"/>
          <w:lang w:bidi="he-IL"/>
        </w:rPr>
        <w:t>to return</w:t>
      </w:r>
      <w:r w:rsidRPr="008766BA">
        <w:rPr>
          <w:rFonts w:eastAsia="Calibri" w:cs="Arial"/>
          <w:lang w:bidi="he-IL"/>
        </w:rPr>
        <w:t xml:space="preserve"> </w:t>
      </w:r>
      <w:r w:rsidR="00177B61">
        <w:rPr>
          <w:rFonts w:eastAsia="Calibri" w:cs="Arial"/>
          <w:lang w:bidi="he-IL"/>
        </w:rPr>
        <w:t>secure setting</w:t>
      </w:r>
      <w:r w:rsidRPr="008766BA">
        <w:rPr>
          <w:rFonts w:eastAsia="Calibri" w:cs="Arial"/>
          <w:lang w:bidi="he-IL"/>
        </w:rPr>
        <w:t xml:space="preserve">s </w:t>
      </w:r>
      <w:r w:rsidR="008766BA" w:rsidRPr="008766BA">
        <w:rPr>
          <w:rFonts w:eastAsia="Calibri" w:cs="Arial"/>
          <w:lang w:bidi="he-IL"/>
        </w:rPr>
        <w:t>to pre-COVID levels of</w:t>
      </w:r>
      <w:r w:rsidRPr="008766BA">
        <w:rPr>
          <w:rFonts w:eastAsia="Calibri" w:cs="Arial"/>
          <w:lang w:bidi="he-IL"/>
        </w:rPr>
        <w:t xml:space="preserve"> regime. </w:t>
      </w:r>
      <w:r w:rsidR="008766BA">
        <w:rPr>
          <w:rFonts w:eastAsia="Calibri" w:cs="Arial"/>
          <w:lang w:bidi="he-IL"/>
        </w:rPr>
        <w:t xml:space="preserve">The </w:t>
      </w:r>
      <w:r w:rsidR="0012661F">
        <w:rPr>
          <w:rFonts w:cs="Arial"/>
        </w:rPr>
        <w:t>principle</w:t>
      </w:r>
      <w:r w:rsidR="0012661F" w:rsidRPr="008F4537">
        <w:rPr>
          <w:rFonts w:cs="Arial"/>
        </w:rPr>
        <w:t xml:space="preserve"> is to guide</w:t>
      </w:r>
      <w:r w:rsidR="0012661F">
        <w:rPr>
          <w:rFonts w:cs="Arial"/>
        </w:rPr>
        <w:t xml:space="preserve"> </w:t>
      </w:r>
      <w:r w:rsidR="00177B61">
        <w:rPr>
          <w:rFonts w:cs="Arial"/>
        </w:rPr>
        <w:t>secure setting</w:t>
      </w:r>
      <w:r w:rsidR="0012661F">
        <w:rPr>
          <w:rFonts w:cs="Arial"/>
        </w:rPr>
        <w:t>s</w:t>
      </w:r>
      <w:r w:rsidR="0012661F" w:rsidRPr="008F4537">
        <w:rPr>
          <w:rFonts w:cs="Arial"/>
        </w:rPr>
        <w:t xml:space="preserve"> back from an </w:t>
      </w:r>
      <w:r w:rsidR="0012661F">
        <w:rPr>
          <w:rFonts w:cs="Arial"/>
        </w:rPr>
        <w:t xml:space="preserve">Exceptional Regime Management Plan (ERMP) </w:t>
      </w:r>
      <w:r w:rsidR="0012661F" w:rsidRPr="008F4537">
        <w:rPr>
          <w:rFonts w:cs="Arial"/>
        </w:rPr>
        <w:t xml:space="preserve">to </w:t>
      </w:r>
      <w:r w:rsidR="0012661F">
        <w:rPr>
          <w:rFonts w:cs="Arial"/>
        </w:rPr>
        <w:t>normal</w:t>
      </w:r>
      <w:r w:rsidR="0012661F" w:rsidRPr="008F4537">
        <w:rPr>
          <w:rFonts w:cs="Arial"/>
        </w:rPr>
        <w:t xml:space="preserve"> RMP</w:t>
      </w:r>
      <w:r w:rsidR="0012661F">
        <w:rPr>
          <w:rFonts w:cs="Arial"/>
        </w:rPr>
        <w:t xml:space="preserve"> processes, through a staged uplift in regime elements.</w:t>
      </w:r>
      <w:r w:rsidR="0012661F" w:rsidRPr="008F4537">
        <w:rPr>
          <w:rFonts w:cs="Arial"/>
        </w:rPr>
        <w:t xml:space="preserve"> </w:t>
      </w:r>
      <w:r w:rsidR="0012661F">
        <w:rPr>
          <w:rFonts w:cs="Arial"/>
        </w:rPr>
        <w:t xml:space="preserve">It is based on splitting normal regimes into three separate packages which will be reinstated in an agreed sequence at establishments who meet stringent readiness requirements. </w:t>
      </w:r>
    </w:p>
    <w:p w14:paraId="5E1DFCA4" w14:textId="77777777" w:rsidR="0012661F" w:rsidRDefault="0012661F" w:rsidP="0012661F">
      <w:pPr>
        <w:spacing w:after="0" w:line="240" w:lineRule="auto"/>
        <w:jc w:val="both"/>
        <w:rPr>
          <w:rFonts w:cs="Arial"/>
        </w:rPr>
      </w:pPr>
    </w:p>
    <w:p w14:paraId="3F721A03" w14:textId="77777777" w:rsidR="0012661F" w:rsidRDefault="00177B61" w:rsidP="0012661F">
      <w:pPr>
        <w:spacing w:after="0" w:line="240" w:lineRule="auto"/>
        <w:jc w:val="both"/>
        <w:rPr>
          <w:rFonts w:cs="Arial"/>
        </w:rPr>
      </w:pPr>
      <w:r>
        <w:rPr>
          <w:rFonts w:cs="Arial"/>
        </w:rPr>
        <w:t>Secure setting</w:t>
      </w:r>
      <w:r w:rsidR="0012661F">
        <w:rPr>
          <w:rFonts w:cs="Arial"/>
        </w:rPr>
        <w:t xml:space="preserve">s </w:t>
      </w:r>
      <w:r w:rsidR="002930D1">
        <w:rPr>
          <w:rFonts w:cs="Arial"/>
        </w:rPr>
        <w:t>are</w:t>
      </w:r>
      <w:r w:rsidR="0012661F">
        <w:rPr>
          <w:rFonts w:cs="Arial"/>
        </w:rPr>
        <w:t xml:space="preserve"> required to develop local Regime Recovery Plans (RRP) </w:t>
      </w:r>
      <w:r w:rsidR="00E406A4">
        <w:rPr>
          <w:rFonts w:cs="Arial"/>
        </w:rPr>
        <w:t xml:space="preserve">based on a suite of national guidance documents called Exceptional Delivery Models (EDM) in the same way they developed a local ERMP based on operational guidance. </w:t>
      </w:r>
      <w:r w:rsidR="002930D1">
        <w:rPr>
          <w:rFonts w:cs="Arial"/>
        </w:rPr>
        <w:t xml:space="preserve">Establishments are being provided </w:t>
      </w:r>
      <w:r w:rsidR="00E406A4">
        <w:rPr>
          <w:rFonts w:cs="Arial"/>
        </w:rPr>
        <w:t xml:space="preserve">with high level guidance outlining the parameters they must work within, but </w:t>
      </w:r>
      <w:r w:rsidR="002930D1">
        <w:rPr>
          <w:rFonts w:cs="Arial"/>
        </w:rPr>
        <w:t xml:space="preserve">have autonomy </w:t>
      </w:r>
      <w:r w:rsidR="00E406A4">
        <w:rPr>
          <w:rFonts w:cs="Arial"/>
        </w:rPr>
        <w:t xml:space="preserve">to build their own bespoke plans based on what works locally. </w:t>
      </w:r>
      <w:r w:rsidR="002930D1">
        <w:rPr>
          <w:rFonts w:cs="Arial"/>
        </w:rPr>
        <w:t>Establishments will</w:t>
      </w:r>
      <w:r w:rsidR="00E406A4">
        <w:rPr>
          <w:rFonts w:cs="Arial"/>
        </w:rPr>
        <w:t xml:space="preserve"> </w:t>
      </w:r>
      <w:r w:rsidR="0012661F">
        <w:rPr>
          <w:rFonts w:cs="Arial"/>
        </w:rPr>
        <w:t xml:space="preserve">submit </w:t>
      </w:r>
      <w:r w:rsidR="002930D1">
        <w:rPr>
          <w:rFonts w:cs="Arial"/>
        </w:rPr>
        <w:t>their RRP</w:t>
      </w:r>
      <w:r w:rsidR="001842C3">
        <w:rPr>
          <w:rFonts w:cs="Arial"/>
        </w:rPr>
        <w:t xml:space="preserve"> together with a r</w:t>
      </w:r>
      <w:r w:rsidR="0012661F">
        <w:rPr>
          <w:rFonts w:cs="Arial"/>
        </w:rPr>
        <w:t xml:space="preserve">eadiness </w:t>
      </w:r>
      <w:r w:rsidR="0012661F">
        <w:rPr>
          <w:rFonts w:cs="Arial"/>
        </w:rPr>
        <w:lastRenderedPageBreak/>
        <w:t>assessment</w:t>
      </w:r>
      <w:r w:rsidR="001842C3">
        <w:rPr>
          <w:rFonts w:cs="Arial"/>
        </w:rPr>
        <w:t xml:space="preserve"> to their respective PGD. </w:t>
      </w:r>
      <w:r w:rsidR="002930D1">
        <w:rPr>
          <w:rFonts w:cs="Arial"/>
        </w:rPr>
        <w:t>A</w:t>
      </w:r>
      <w:r w:rsidR="0012661F">
        <w:rPr>
          <w:rFonts w:cs="Arial"/>
        </w:rPr>
        <w:t xml:space="preserve"> central </w:t>
      </w:r>
      <w:r w:rsidR="00C03D4F">
        <w:rPr>
          <w:rFonts w:cs="Arial"/>
        </w:rPr>
        <w:t>assurance mechanism</w:t>
      </w:r>
      <w:r w:rsidR="0012661F">
        <w:rPr>
          <w:rFonts w:cs="Arial"/>
        </w:rPr>
        <w:t xml:space="preserve"> </w:t>
      </w:r>
      <w:r w:rsidR="001842C3">
        <w:rPr>
          <w:rFonts w:cs="Arial"/>
        </w:rPr>
        <w:t xml:space="preserve">will review </w:t>
      </w:r>
      <w:r w:rsidR="002930D1">
        <w:rPr>
          <w:rFonts w:cs="Arial"/>
        </w:rPr>
        <w:t>submissions</w:t>
      </w:r>
      <w:r w:rsidR="00C03D4F">
        <w:rPr>
          <w:rFonts w:cs="Arial"/>
        </w:rPr>
        <w:t xml:space="preserve"> and</w:t>
      </w:r>
      <w:r w:rsidR="002930D1">
        <w:rPr>
          <w:rFonts w:cs="Arial"/>
        </w:rPr>
        <w:t xml:space="preserve"> </w:t>
      </w:r>
      <w:r w:rsidR="001842C3">
        <w:rPr>
          <w:rFonts w:cs="Arial"/>
        </w:rPr>
        <w:t xml:space="preserve">determine the order in which </w:t>
      </w:r>
      <w:r w:rsidR="002930D1">
        <w:rPr>
          <w:rFonts w:cs="Arial"/>
        </w:rPr>
        <w:t>establishments</w:t>
      </w:r>
      <w:r w:rsidR="001842C3">
        <w:rPr>
          <w:rFonts w:cs="Arial"/>
        </w:rPr>
        <w:t xml:space="preserve"> commence their </w:t>
      </w:r>
      <w:r w:rsidR="00E406A4">
        <w:rPr>
          <w:rFonts w:cs="Arial"/>
        </w:rPr>
        <w:t>regime</w:t>
      </w:r>
      <w:r w:rsidR="001842C3">
        <w:rPr>
          <w:rFonts w:cs="Arial"/>
        </w:rPr>
        <w:t xml:space="preserve"> recovery activity</w:t>
      </w:r>
      <w:r w:rsidR="0012661F">
        <w:rPr>
          <w:rFonts w:cs="Arial"/>
        </w:rPr>
        <w:t xml:space="preserve">. </w:t>
      </w:r>
    </w:p>
    <w:p w14:paraId="175CB74A" w14:textId="77777777" w:rsidR="0012661F" w:rsidRDefault="0012661F" w:rsidP="0012661F">
      <w:pPr>
        <w:spacing w:after="0" w:line="240" w:lineRule="auto"/>
        <w:jc w:val="both"/>
        <w:rPr>
          <w:rFonts w:cs="Arial"/>
        </w:rPr>
      </w:pPr>
    </w:p>
    <w:p w14:paraId="5AF04F53" w14:textId="77777777" w:rsidR="001842C3" w:rsidRDefault="001842C3" w:rsidP="001842C3">
      <w:pPr>
        <w:spacing w:after="0" w:line="240" w:lineRule="auto"/>
        <w:jc w:val="both"/>
        <w:rPr>
          <w:rFonts w:cs="Arial"/>
        </w:rPr>
      </w:pPr>
      <w:r>
        <w:rPr>
          <w:rFonts w:cs="Arial"/>
        </w:rPr>
        <w:t xml:space="preserve">Each RRP will </w:t>
      </w:r>
      <w:r w:rsidR="00EB77FD">
        <w:rPr>
          <w:rFonts w:cs="Arial"/>
        </w:rPr>
        <w:t>summarise</w:t>
      </w:r>
      <w:r>
        <w:rPr>
          <w:rFonts w:cs="Arial"/>
        </w:rPr>
        <w:t xml:space="preserve"> a </w:t>
      </w:r>
      <w:r w:rsidR="00177B61">
        <w:rPr>
          <w:rFonts w:cs="Arial"/>
        </w:rPr>
        <w:t>secure settings</w:t>
      </w:r>
      <w:r>
        <w:rPr>
          <w:rFonts w:cs="Arial"/>
        </w:rPr>
        <w:t xml:space="preserve"> local plans </w:t>
      </w:r>
      <w:r w:rsidR="00EB77FD">
        <w:rPr>
          <w:rFonts w:cs="Arial"/>
        </w:rPr>
        <w:t xml:space="preserve">and proposed timescales </w:t>
      </w:r>
      <w:r>
        <w:rPr>
          <w:rFonts w:cs="Arial"/>
        </w:rPr>
        <w:t xml:space="preserve">for standing up elements of regime that have been suspended or reduced </w:t>
      </w:r>
      <w:r w:rsidR="00EB77FD">
        <w:rPr>
          <w:rFonts w:cs="Arial"/>
        </w:rPr>
        <w:t xml:space="preserve">during COVID-19 </w:t>
      </w:r>
      <w:r>
        <w:rPr>
          <w:rFonts w:cs="Arial"/>
        </w:rPr>
        <w:t xml:space="preserve">and their readiness assessment will demonstrate that the establishment satisfies all the pre-requisites to commence recovery. Once </w:t>
      </w:r>
      <w:r w:rsidR="002930D1">
        <w:rPr>
          <w:rFonts w:cs="Arial"/>
        </w:rPr>
        <w:t>these have been approved by PGDs and signed off centrally</w:t>
      </w:r>
      <w:r>
        <w:rPr>
          <w:rFonts w:cs="Arial"/>
        </w:rPr>
        <w:t xml:space="preserve"> establishments </w:t>
      </w:r>
      <w:r w:rsidR="002930D1">
        <w:rPr>
          <w:rFonts w:cs="Arial"/>
        </w:rPr>
        <w:t>can</w:t>
      </w:r>
      <w:r>
        <w:rPr>
          <w:rFonts w:cs="Arial"/>
        </w:rPr>
        <w:t xml:space="preserve"> enact their</w:t>
      </w:r>
      <w:r w:rsidR="00EB77FD">
        <w:rPr>
          <w:rFonts w:cs="Arial"/>
        </w:rPr>
        <w:t xml:space="preserve"> local</w:t>
      </w:r>
      <w:r>
        <w:rPr>
          <w:rFonts w:cs="Arial"/>
        </w:rPr>
        <w:t xml:space="preserve"> recovery plan</w:t>
      </w:r>
      <w:r w:rsidR="00EB77FD">
        <w:rPr>
          <w:rFonts w:cs="Arial"/>
        </w:rPr>
        <w:t xml:space="preserve"> </w:t>
      </w:r>
      <w:r w:rsidR="002930D1">
        <w:rPr>
          <w:rFonts w:cs="Arial"/>
        </w:rPr>
        <w:t xml:space="preserve">but will do so under continuing central </w:t>
      </w:r>
      <w:r w:rsidR="00761EA5">
        <w:rPr>
          <w:rFonts w:cs="Arial"/>
        </w:rPr>
        <w:t xml:space="preserve">and line management </w:t>
      </w:r>
      <w:r w:rsidR="002930D1">
        <w:rPr>
          <w:rFonts w:cs="Arial"/>
        </w:rPr>
        <w:t xml:space="preserve">scrutiny. This is essential as the national COVID picture remains hard to predict, it is therefore essential that activity is coordinated across the estate and progress at individual </w:t>
      </w:r>
      <w:r w:rsidR="00177B61">
        <w:rPr>
          <w:rFonts w:cs="Arial"/>
        </w:rPr>
        <w:t>secure settings</w:t>
      </w:r>
      <w:r w:rsidR="002930D1">
        <w:rPr>
          <w:rFonts w:cs="Arial"/>
        </w:rPr>
        <w:t xml:space="preserve"> is carefully planned. </w:t>
      </w:r>
      <w:r>
        <w:rPr>
          <w:rFonts w:cs="Arial"/>
        </w:rPr>
        <w:t xml:space="preserve"> </w:t>
      </w:r>
    </w:p>
    <w:p w14:paraId="501FFAE5" w14:textId="77777777" w:rsidR="001842C3" w:rsidRDefault="001842C3" w:rsidP="001842C3">
      <w:pPr>
        <w:spacing w:after="0" w:line="240" w:lineRule="auto"/>
        <w:jc w:val="both"/>
        <w:rPr>
          <w:rFonts w:cs="Arial"/>
        </w:rPr>
      </w:pPr>
    </w:p>
    <w:p w14:paraId="75E8F190" w14:textId="77777777" w:rsidR="001842C3" w:rsidRDefault="001842C3" w:rsidP="001842C3">
      <w:pPr>
        <w:spacing w:after="0" w:line="240" w:lineRule="auto"/>
        <w:jc w:val="both"/>
        <w:rPr>
          <w:rFonts w:cs="Arial"/>
        </w:rPr>
      </w:pPr>
      <w:r>
        <w:rPr>
          <w:rFonts w:cs="Arial"/>
        </w:rPr>
        <w:t xml:space="preserve">It is crucial that a model of recovery is not over-engineered to the extent that it cannot flex and react to the national and global COVID landscape. </w:t>
      </w:r>
      <w:r w:rsidR="00177B61">
        <w:rPr>
          <w:rFonts w:cs="Arial"/>
        </w:rPr>
        <w:t>Therefore,</w:t>
      </w:r>
      <w:r>
        <w:rPr>
          <w:rFonts w:cs="Arial"/>
        </w:rPr>
        <w:t xml:space="preserve"> once approved to commence recovery, each establishment will be required to report on progress through their </w:t>
      </w:r>
      <w:r w:rsidR="00761EA5">
        <w:rPr>
          <w:rFonts w:cs="Arial"/>
        </w:rPr>
        <w:t>Prison Group Director</w:t>
      </w:r>
      <w:r>
        <w:rPr>
          <w:rFonts w:cs="Arial"/>
        </w:rPr>
        <w:t>. The central review mechanism will track progress and determine whether recovery activity (split into four phases) can progress to the next phase, remain at the current level or slow depending on progress and the wider national context. Recovery activity will be closely governed and steadily paced to ensure stability and safety are maintained throughout.</w:t>
      </w:r>
    </w:p>
    <w:p w14:paraId="0488215E" w14:textId="77777777" w:rsidR="001842C3" w:rsidRDefault="001842C3" w:rsidP="001842C3">
      <w:pPr>
        <w:spacing w:after="0" w:line="240" w:lineRule="auto"/>
        <w:jc w:val="both"/>
        <w:rPr>
          <w:rFonts w:cs="Arial"/>
        </w:rPr>
      </w:pPr>
    </w:p>
    <w:p w14:paraId="7574D6F5" w14:textId="77777777" w:rsidR="003958C8" w:rsidRPr="00713271" w:rsidRDefault="003958C8" w:rsidP="00112560">
      <w:pPr>
        <w:spacing w:after="0" w:line="240" w:lineRule="auto"/>
        <w:jc w:val="both"/>
        <w:rPr>
          <w:rFonts w:cs="Arial"/>
        </w:rPr>
      </w:pPr>
      <w:r>
        <w:rPr>
          <w:rFonts w:cs="Arial"/>
        </w:rPr>
        <w:t xml:space="preserve">The overall aim is to oversee safe and stable progression from ERMP regime to each establishment’s pre-existing RMP at all sites. This requires two distinct phases of work involving four packages of services (again we have chosen four packages to closely mirror the ERMP approach that has immediately preceded it). </w:t>
      </w:r>
      <w:r w:rsidR="00177B61">
        <w:rPr>
          <w:rFonts w:cs="Arial"/>
        </w:rPr>
        <w:t>Firstly,</w:t>
      </w:r>
      <w:r>
        <w:rPr>
          <w:rFonts w:cs="Arial"/>
        </w:rPr>
        <w:t xml:space="preserve"> we must switch off the core elements of ERMP in a safe fashion by extending on-wing regime, we must then switch on additional levels of service that are features of the amber regime. We cannot progress to the second phase without having established a safe and stable operating </w:t>
      </w:r>
      <w:r w:rsidRPr="00713271">
        <w:rPr>
          <w:rFonts w:cs="Arial"/>
        </w:rPr>
        <w:t>base.</w:t>
      </w:r>
      <w:r w:rsidR="00541135" w:rsidRPr="00713271">
        <w:rPr>
          <w:rFonts w:cs="Arial"/>
        </w:rPr>
        <w:t xml:space="preserve"> </w:t>
      </w:r>
      <w:r w:rsidR="00777258" w:rsidRPr="00713271">
        <w:rPr>
          <w:rFonts w:cs="Arial"/>
        </w:rPr>
        <w:t>Each EDM must have consultation with recognised Trade Unions at a local level and adequate facility time afforded.</w:t>
      </w:r>
    </w:p>
    <w:p w14:paraId="1E675D9B" w14:textId="77777777" w:rsidR="00177B61" w:rsidRDefault="00177B61" w:rsidP="003958C8">
      <w:pPr>
        <w:spacing w:after="0" w:line="240" w:lineRule="auto"/>
        <w:jc w:val="both"/>
        <w:rPr>
          <w:rFonts w:cs="Arial"/>
          <w:b/>
        </w:rPr>
      </w:pPr>
      <w:bookmarkStart w:id="0" w:name="_GoBack"/>
      <w:bookmarkEnd w:id="0"/>
    </w:p>
    <w:p w14:paraId="7E7ECCA9" w14:textId="77777777" w:rsidR="00177B61" w:rsidRDefault="00177B61" w:rsidP="003958C8">
      <w:pPr>
        <w:spacing w:after="0" w:line="240" w:lineRule="auto"/>
        <w:jc w:val="both"/>
        <w:rPr>
          <w:rFonts w:cs="Arial"/>
          <w:b/>
        </w:rPr>
      </w:pPr>
    </w:p>
    <w:p w14:paraId="617E68ED" w14:textId="77777777" w:rsidR="003958C8" w:rsidRPr="008F4537" w:rsidRDefault="003958C8" w:rsidP="003958C8">
      <w:pPr>
        <w:spacing w:after="0" w:line="240" w:lineRule="auto"/>
        <w:jc w:val="both"/>
        <w:rPr>
          <w:rFonts w:cs="Arial"/>
          <w:b/>
        </w:rPr>
      </w:pPr>
      <w:r>
        <w:rPr>
          <w:rFonts w:cs="Arial"/>
          <w:b/>
        </w:rPr>
        <w:t xml:space="preserve">Summary of Prison Recovery Model </w:t>
      </w:r>
    </w:p>
    <w:p w14:paraId="498C3DEA" w14:textId="77777777" w:rsidR="003958C8" w:rsidRPr="008F4537" w:rsidRDefault="003958C8" w:rsidP="003958C8">
      <w:pPr>
        <w:spacing w:after="0" w:line="240" w:lineRule="auto"/>
        <w:jc w:val="both"/>
        <w:rPr>
          <w:rFonts w:cs="Arial"/>
          <w:b/>
        </w:rPr>
      </w:pPr>
    </w:p>
    <w:p w14:paraId="2430107A" w14:textId="77777777" w:rsidR="003958C8" w:rsidRPr="008F4537" w:rsidRDefault="003958C8" w:rsidP="003958C8">
      <w:pPr>
        <w:jc w:val="both"/>
        <w:rPr>
          <w:rFonts w:cs="Arial"/>
          <w:b/>
        </w:rPr>
      </w:pPr>
      <w:r w:rsidRPr="008F4537">
        <w:rPr>
          <w:rFonts w:cs="Arial"/>
          <w:noProof/>
          <w:lang w:eastAsia="en-GB"/>
        </w:rPr>
        <w:drawing>
          <wp:inline distT="0" distB="0" distL="0" distR="0" wp14:anchorId="3EC05424" wp14:editId="7368CD54">
            <wp:extent cx="5524500" cy="2790825"/>
            <wp:effectExtent l="0" t="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2F4E352" w14:textId="77777777" w:rsidR="003958C8" w:rsidRPr="008F4537" w:rsidRDefault="003958C8" w:rsidP="003958C8">
      <w:pPr>
        <w:spacing w:after="0" w:line="240" w:lineRule="auto"/>
        <w:jc w:val="both"/>
        <w:rPr>
          <w:rFonts w:cs="Arial"/>
        </w:rPr>
      </w:pPr>
    </w:p>
    <w:p w14:paraId="67C1BA2C" w14:textId="77777777" w:rsidR="003958C8" w:rsidRDefault="003958C8" w:rsidP="00112560">
      <w:pPr>
        <w:spacing w:after="0" w:line="240" w:lineRule="auto"/>
        <w:jc w:val="both"/>
        <w:rPr>
          <w:rFonts w:cs="Arial"/>
          <w:b/>
        </w:rPr>
      </w:pPr>
    </w:p>
    <w:p w14:paraId="0E100DB8" w14:textId="77777777" w:rsidR="008839EF" w:rsidRDefault="008839EF" w:rsidP="00112560">
      <w:pPr>
        <w:spacing w:after="0" w:line="240" w:lineRule="auto"/>
        <w:jc w:val="both"/>
        <w:rPr>
          <w:rFonts w:cs="Arial"/>
          <w:highlight w:val="yellow"/>
        </w:rPr>
      </w:pPr>
    </w:p>
    <w:p w14:paraId="18EAF642" w14:textId="77777777" w:rsidR="003958C8" w:rsidRDefault="003958C8" w:rsidP="006405A3">
      <w:pPr>
        <w:spacing w:after="0" w:line="240" w:lineRule="auto"/>
        <w:jc w:val="both"/>
        <w:rPr>
          <w:rFonts w:cs="Arial"/>
        </w:rPr>
      </w:pPr>
    </w:p>
    <w:p w14:paraId="08F5EE1D" w14:textId="77777777" w:rsidR="003958C8" w:rsidRDefault="003958C8" w:rsidP="006405A3">
      <w:pPr>
        <w:spacing w:after="0" w:line="240" w:lineRule="auto"/>
        <w:jc w:val="both"/>
        <w:rPr>
          <w:rFonts w:cs="Arial"/>
        </w:rPr>
      </w:pPr>
    </w:p>
    <w:p w14:paraId="5DBC817C" w14:textId="77777777" w:rsidR="00641785" w:rsidRDefault="00701B3D" w:rsidP="00780C73">
      <w:pPr>
        <w:jc w:val="both"/>
        <w:rPr>
          <w:b/>
          <w:sz w:val="28"/>
          <w:szCs w:val="28"/>
        </w:rPr>
      </w:pPr>
      <w:r w:rsidRPr="00BC5317">
        <w:rPr>
          <w:b/>
          <w:sz w:val="28"/>
          <w:szCs w:val="28"/>
        </w:rPr>
        <w:lastRenderedPageBreak/>
        <w:t xml:space="preserve">Exceptional Delivery Regime </w:t>
      </w:r>
      <w:r w:rsidR="002F5A37">
        <w:rPr>
          <w:b/>
          <w:sz w:val="28"/>
          <w:szCs w:val="28"/>
        </w:rPr>
        <w:t xml:space="preserve">model: </w:t>
      </w:r>
      <w:r w:rsidR="005768FD">
        <w:rPr>
          <w:b/>
          <w:sz w:val="28"/>
          <w:szCs w:val="28"/>
        </w:rPr>
        <w:t>Resettlement</w:t>
      </w:r>
    </w:p>
    <w:p w14:paraId="23C05FAB" w14:textId="77777777" w:rsidR="002F5A37" w:rsidRDefault="002F5A37" w:rsidP="002F5A37">
      <w:pPr>
        <w:jc w:val="both"/>
      </w:pPr>
      <w:r>
        <w:t xml:space="preserve">Areas of </w:t>
      </w:r>
      <w:r w:rsidR="005768FD">
        <w:t>Resettlement within the YCS Secure Estate</w:t>
      </w:r>
      <w:r>
        <w:t xml:space="preserve"> were quite properly suspended on 24 March 2020 as we introduced extensive restrictions to social contact to manage the impact of coronavirus (Covid-19) in our </w:t>
      </w:r>
      <w:r w:rsidR="005768FD">
        <w:t>secure sites</w:t>
      </w:r>
      <w:r>
        <w:t xml:space="preserve"> and to prepare for likely further increases in staff absence. </w:t>
      </w:r>
    </w:p>
    <w:p w14:paraId="2622F2FF" w14:textId="77777777" w:rsidR="002F5A37" w:rsidRDefault="002F5A37" w:rsidP="004A744E">
      <w:pPr>
        <w:spacing w:after="0" w:line="240" w:lineRule="auto"/>
        <w:jc w:val="both"/>
        <w:rPr>
          <w:bCs/>
        </w:rPr>
      </w:pPr>
      <w:r w:rsidRPr="004A744E">
        <w:rPr>
          <w:bCs/>
        </w:rPr>
        <w:t xml:space="preserve">It is judged that certain tasks completed by </w:t>
      </w:r>
      <w:r w:rsidR="005768FD">
        <w:rPr>
          <w:bCs/>
        </w:rPr>
        <w:t>the Resettlement function within the children and young people’s secure estate</w:t>
      </w:r>
      <w:r w:rsidRPr="004A744E">
        <w:rPr>
          <w:bCs/>
        </w:rPr>
        <w:t xml:space="preserve">, as delivered prior to COVID-19, is not feasible at the current time. The need for an Exceptional Delivery Model (EDM) will provide a framework for how </w:t>
      </w:r>
      <w:r w:rsidR="005768FD">
        <w:rPr>
          <w:bCs/>
        </w:rPr>
        <w:t>resettlement</w:t>
      </w:r>
      <w:r w:rsidRPr="004A744E">
        <w:rPr>
          <w:bCs/>
        </w:rPr>
        <w:t xml:space="preserve"> in </w:t>
      </w:r>
      <w:r w:rsidR="005768FD">
        <w:rPr>
          <w:bCs/>
        </w:rPr>
        <w:t>the children and young people’s secure estate</w:t>
      </w:r>
      <w:r w:rsidRPr="004A744E">
        <w:rPr>
          <w:bCs/>
        </w:rPr>
        <w:t xml:space="preserve"> can be delivered safely and in adherence with PHE guidance on </w:t>
      </w:r>
      <w:r w:rsidR="00CC4EA7">
        <w:rPr>
          <w:bCs/>
        </w:rPr>
        <w:t>physical</w:t>
      </w:r>
      <w:r w:rsidRPr="004A744E">
        <w:rPr>
          <w:bCs/>
        </w:rPr>
        <w:t xml:space="preserve"> distancing. This EDM is part of our medium-term recovery plan.</w:t>
      </w:r>
    </w:p>
    <w:p w14:paraId="25D0EC3E" w14:textId="77777777" w:rsidR="0086412B" w:rsidRDefault="0086412B" w:rsidP="004A744E">
      <w:pPr>
        <w:spacing w:after="0" w:line="240" w:lineRule="auto"/>
        <w:jc w:val="both"/>
        <w:rPr>
          <w:bCs/>
        </w:rPr>
      </w:pPr>
    </w:p>
    <w:p w14:paraId="5B03C490" w14:textId="77777777" w:rsidR="0086412B" w:rsidRPr="0086412B" w:rsidRDefault="0086412B" w:rsidP="0086412B">
      <w:r>
        <w:t xml:space="preserve">This EDM sets a framework of principles within which </w:t>
      </w:r>
      <w:r w:rsidR="005768FD">
        <w:t>the children and young people’s secure estate</w:t>
      </w:r>
      <w:r>
        <w:t xml:space="preserve"> must operate. </w:t>
      </w:r>
      <w:r w:rsidR="00BC10EA">
        <w:t>STCs may not be required to comply with mandatory actions where the legislative framework or operating model is substantially different.</w:t>
      </w:r>
      <w:r w:rsidR="00FA7249">
        <w:t xml:space="preserve">  </w:t>
      </w:r>
      <w:r>
        <w:t xml:space="preserve">The appropriate extent of </w:t>
      </w:r>
      <w:r w:rsidR="005768FD">
        <w:t>resettlement work</w:t>
      </w:r>
      <w:r>
        <w:t xml:space="preserve"> that can safely be delivered is for local determination, adhering </w:t>
      </w:r>
      <w:proofErr w:type="gramStart"/>
      <w:r>
        <w:t>at all times</w:t>
      </w:r>
      <w:proofErr w:type="gramEnd"/>
      <w:r>
        <w:t xml:space="preserve"> to these principles. This should be facilitated via dialogue between the Governor and Heads of </w:t>
      </w:r>
      <w:r w:rsidR="005768FD">
        <w:t>Casework.</w:t>
      </w:r>
    </w:p>
    <w:p w14:paraId="3A98B170" w14:textId="77777777" w:rsidR="002F5A37" w:rsidRDefault="002F5A37" w:rsidP="000A0320">
      <w:pPr>
        <w:spacing w:after="0" w:line="240" w:lineRule="auto"/>
        <w:jc w:val="both"/>
        <w:rPr>
          <w:rFonts w:cs="Arial"/>
        </w:rPr>
      </w:pPr>
    </w:p>
    <w:p w14:paraId="0EDBE976" w14:textId="77777777" w:rsidR="008115A2" w:rsidRDefault="00354CDF" w:rsidP="008115A2">
      <w:pPr>
        <w:jc w:val="both"/>
        <w:rPr>
          <w:b/>
          <w:u w:val="single"/>
        </w:rPr>
      </w:pPr>
      <w:r>
        <w:rPr>
          <w:b/>
          <w:u w:val="single"/>
        </w:rPr>
        <w:t>Resettlement within the children and young people’s secure estate</w:t>
      </w:r>
    </w:p>
    <w:p w14:paraId="25980A31" w14:textId="77777777" w:rsidR="008115A2" w:rsidRDefault="00BF60F9" w:rsidP="00144954">
      <w:pPr>
        <w:spacing w:before="180" w:after="0" w:line="240" w:lineRule="auto"/>
        <w:jc w:val="both"/>
      </w:pPr>
      <w:r>
        <w:rPr>
          <w:rFonts w:eastAsia="Arial" w:cstheme="minorHAnsi"/>
          <w:bCs/>
          <w:iCs/>
          <w:color w:val="000000"/>
          <w:lang w:eastAsia="en-GB"/>
        </w:rPr>
        <w:t>All children and young people within the secure estate</w:t>
      </w:r>
      <w:r w:rsidR="008115A2" w:rsidRPr="00940116">
        <w:rPr>
          <w:rFonts w:eastAsia="Arial" w:cstheme="minorHAnsi"/>
          <w:bCs/>
          <w:iCs/>
          <w:color w:val="000000"/>
          <w:lang w:eastAsia="en-GB"/>
        </w:rPr>
        <w:t xml:space="preserve"> should have the opportunity to </w:t>
      </w:r>
      <w:r w:rsidR="00CC4EA7">
        <w:rPr>
          <w:rFonts w:eastAsia="Arial" w:cstheme="minorHAnsi"/>
          <w:bCs/>
          <w:iCs/>
          <w:color w:val="000000"/>
          <w:lang w:eastAsia="en-GB"/>
        </w:rPr>
        <w:t>shift their identity and transform</w:t>
      </w:r>
      <w:r w:rsidR="008115A2" w:rsidRPr="00940116">
        <w:rPr>
          <w:rFonts w:eastAsia="Arial" w:cstheme="minorHAnsi"/>
          <w:bCs/>
          <w:iCs/>
          <w:color w:val="000000"/>
          <w:lang w:eastAsia="en-GB"/>
        </w:rPr>
        <w:t xml:space="preserve"> their lives by using their time in custody constructively to reduce their risk of harm and reoffending; to plan their resettlement; and to improve their prospects of becoming safe, law-abiding </w:t>
      </w:r>
      <w:r w:rsidR="008115A2">
        <w:rPr>
          <w:rFonts w:eastAsia="Arial" w:cstheme="minorHAnsi"/>
          <w:bCs/>
          <w:iCs/>
          <w:color w:val="000000"/>
          <w:lang w:eastAsia="en-GB"/>
        </w:rPr>
        <w:t xml:space="preserve">and valuable member of society. </w:t>
      </w:r>
      <w:r>
        <w:t>Resettlement</w:t>
      </w:r>
      <w:r w:rsidR="008115A2">
        <w:t xml:space="preserve"> is at the heart of much of what we do, supporting the critical transition from custody to community. </w:t>
      </w:r>
    </w:p>
    <w:p w14:paraId="54CBC7BA" w14:textId="77777777" w:rsidR="008115A2" w:rsidRDefault="008115A2" w:rsidP="00144954">
      <w:pPr>
        <w:spacing w:before="180" w:after="0" w:line="240" w:lineRule="auto"/>
        <w:jc w:val="both"/>
        <w:rPr>
          <w:rFonts w:cstheme="minorHAnsi"/>
        </w:rPr>
      </w:pPr>
      <w:r w:rsidRPr="00C22F9D">
        <w:rPr>
          <w:rFonts w:eastAsiaTheme="minorEastAsia" w:cstheme="minorHAnsi"/>
          <w:color w:val="000000" w:themeColor="text1"/>
          <w:kern w:val="24"/>
        </w:rPr>
        <w:t xml:space="preserve">We know relationships can make a huge difference and we want </w:t>
      </w:r>
      <w:r w:rsidR="00BF60F9">
        <w:rPr>
          <w:rFonts w:eastAsiaTheme="minorEastAsia" w:cstheme="minorHAnsi"/>
          <w:color w:val="000000" w:themeColor="text1"/>
          <w:kern w:val="24"/>
        </w:rPr>
        <w:t>children and young people</w:t>
      </w:r>
      <w:r w:rsidRPr="00C22F9D">
        <w:rPr>
          <w:rFonts w:eastAsiaTheme="minorEastAsia" w:cstheme="minorHAnsi"/>
          <w:color w:val="000000" w:themeColor="text1"/>
          <w:kern w:val="24"/>
        </w:rPr>
        <w:t xml:space="preserve"> to have trusting relationships with staff to </w:t>
      </w:r>
      <w:r>
        <w:rPr>
          <w:rFonts w:eastAsiaTheme="minorEastAsia" w:cstheme="minorHAnsi"/>
          <w:color w:val="000000" w:themeColor="text1"/>
          <w:kern w:val="24"/>
        </w:rPr>
        <w:t xml:space="preserve">support them through their sentence and </w:t>
      </w:r>
      <w:r w:rsidRPr="00C22F9D">
        <w:rPr>
          <w:rFonts w:eastAsiaTheme="minorEastAsia" w:cstheme="minorHAnsi"/>
          <w:color w:val="000000" w:themeColor="text1"/>
          <w:kern w:val="24"/>
        </w:rPr>
        <w:t xml:space="preserve">help them take responsibility for their own rehabilitation. This EDM will </w:t>
      </w:r>
      <w:r w:rsidRPr="00C22F9D">
        <w:rPr>
          <w:rFonts w:cstheme="minorHAnsi"/>
        </w:rPr>
        <w:t>focus resources where they are needed most, by providi</w:t>
      </w:r>
      <w:r>
        <w:rPr>
          <w:rFonts w:cstheme="minorHAnsi"/>
        </w:rPr>
        <w:t xml:space="preserve">ng support </w:t>
      </w:r>
      <w:r w:rsidR="00BF60F9">
        <w:rPr>
          <w:rFonts w:cstheme="minorHAnsi"/>
        </w:rPr>
        <w:t>to children and young people throughout their</w:t>
      </w:r>
      <w:r w:rsidRPr="00C22F9D">
        <w:rPr>
          <w:rFonts w:cstheme="minorHAnsi"/>
        </w:rPr>
        <w:t xml:space="preserve"> sentence</w:t>
      </w:r>
      <w:r>
        <w:rPr>
          <w:rFonts w:cstheme="minorHAnsi"/>
        </w:rPr>
        <w:t xml:space="preserve">. </w:t>
      </w:r>
      <w:r w:rsidR="00BF60F9">
        <w:rPr>
          <w:rFonts w:cstheme="minorHAnsi"/>
        </w:rPr>
        <w:t>The c</w:t>
      </w:r>
      <w:r w:rsidR="00354CDF">
        <w:rPr>
          <w:rFonts w:cstheme="minorHAnsi"/>
        </w:rPr>
        <w:t xml:space="preserve">hildren and </w:t>
      </w:r>
      <w:r w:rsidR="00BF60F9">
        <w:rPr>
          <w:rFonts w:cstheme="minorHAnsi"/>
        </w:rPr>
        <w:t>y</w:t>
      </w:r>
      <w:r w:rsidR="00354CDF">
        <w:rPr>
          <w:rFonts w:cstheme="minorHAnsi"/>
        </w:rPr>
        <w:t>oung people’s secure estate</w:t>
      </w:r>
      <w:r>
        <w:rPr>
          <w:rFonts w:cstheme="minorHAnsi"/>
        </w:rPr>
        <w:t xml:space="preserve"> should enable </w:t>
      </w:r>
      <w:r w:rsidR="0089687D">
        <w:rPr>
          <w:rFonts w:cstheme="minorHAnsi"/>
        </w:rPr>
        <w:t>Resettlement Practi</w:t>
      </w:r>
      <w:r w:rsidR="00354CDF">
        <w:rPr>
          <w:rFonts w:cstheme="minorHAnsi"/>
        </w:rPr>
        <w:t>ti</w:t>
      </w:r>
      <w:r w:rsidR="0089687D">
        <w:rPr>
          <w:rFonts w:cstheme="minorHAnsi"/>
        </w:rPr>
        <w:t>oners</w:t>
      </w:r>
      <w:r>
        <w:rPr>
          <w:rFonts w:cstheme="minorHAnsi"/>
        </w:rPr>
        <w:t xml:space="preserve"> </w:t>
      </w:r>
      <w:r w:rsidR="00BF60F9">
        <w:rPr>
          <w:rFonts w:cstheme="minorHAnsi"/>
        </w:rPr>
        <w:t>to work with all relevant stakeholders</w:t>
      </w:r>
      <w:r>
        <w:rPr>
          <w:rFonts w:cstheme="minorHAnsi"/>
        </w:rPr>
        <w:t xml:space="preserve"> in a collaborative way to ensure that </w:t>
      </w:r>
      <w:r w:rsidR="00354CDF">
        <w:rPr>
          <w:rFonts w:cstheme="minorHAnsi"/>
        </w:rPr>
        <w:t>children and young people</w:t>
      </w:r>
      <w:r>
        <w:rPr>
          <w:rFonts w:cstheme="minorHAnsi"/>
        </w:rPr>
        <w:t xml:space="preserve"> are supported </w:t>
      </w:r>
      <w:r w:rsidR="00CC4EA7">
        <w:rPr>
          <w:rFonts w:cstheme="minorHAnsi"/>
        </w:rPr>
        <w:t xml:space="preserve">effectively </w:t>
      </w:r>
      <w:r>
        <w:rPr>
          <w:rFonts w:cstheme="minorHAnsi"/>
        </w:rPr>
        <w:t>and that information is shared.</w:t>
      </w:r>
    </w:p>
    <w:p w14:paraId="28BA00D1" w14:textId="77777777" w:rsidR="00FF4EB3" w:rsidRDefault="00FF4EB3" w:rsidP="00FF4EB3">
      <w:pPr>
        <w:spacing w:after="0" w:line="240" w:lineRule="auto"/>
        <w:jc w:val="both"/>
        <w:rPr>
          <w:rFonts w:cs="Arial"/>
        </w:rPr>
      </w:pPr>
    </w:p>
    <w:p w14:paraId="02BE0807" w14:textId="77777777" w:rsidR="00FF4EB3" w:rsidRDefault="00FF4EB3" w:rsidP="00FF4EB3">
      <w:pPr>
        <w:spacing w:after="0" w:line="240" w:lineRule="auto"/>
        <w:jc w:val="both"/>
        <w:rPr>
          <w:rFonts w:cs="Arial"/>
        </w:rPr>
      </w:pPr>
      <w:r>
        <w:rPr>
          <w:rFonts w:cs="Arial"/>
        </w:rPr>
        <w:t xml:space="preserve">Further, the need to keep staff and children and young people safe from </w:t>
      </w:r>
      <w:r w:rsidRPr="00C17C1F">
        <w:rPr>
          <w:rFonts w:cs="Arial"/>
        </w:rPr>
        <w:t xml:space="preserve">infection </w:t>
      </w:r>
      <w:r>
        <w:rPr>
          <w:rFonts w:cs="Arial"/>
        </w:rPr>
        <w:t xml:space="preserve">and supported </w:t>
      </w:r>
      <w:r w:rsidRPr="00C17C1F">
        <w:rPr>
          <w:rFonts w:cs="Arial"/>
        </w:rPr>
        <w:t>wi</w:t>
      </w:r>
      <w:r>
        <w:rPr>
          <w:rFonts w:cs="Arial"/>
        </w:rPr>
        <w:t xml:space="preserve">ll inevitably be at the forefront of the minds during this period. The ACCEPT, CONNECT, REFLECT framework assists in guiding the response to manage the uncertainty around the disease, while supporting colleagues and meeting the needs of children and young people through the vital role of social interaction, at a physical distance. </w:t>
      </w:r>
    </w:p>
    <w:p w14:paraId="4F46AD90" w14:textId="77777777" w:rsidR="00FF4EB3" w:rsidRPr="00DA1B49" w:rsidRDefault="00FF4EB3" w:rsidP="00FF4EB3">
      <w:pPr>
        <w:spacing w:after="0" w:line="240" w:lineRule="auto"/>
        <w:jc w:val="both"/>
        <w:rPr>
          <w:rFonts w:cs="Arial"/>
        </w:rPr>
      </w:pPr>
      <w:r>
        <w:rPr>
          <w:rFonts w:cs="Arial"/>
          <w:noProof/>
        </w:rPr>
        <w:drawing>
          <wp:inline distT="0" distB="0" distL="0" distR="0" wp14:anchorId="169A1112" wp14:editId="2F8D9544">
            <wp:extent cx="5730875" cy="62801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0875" cy="628015"/>
                    </a:xfrm>
                    <a:prstGeom prst="rect">
                      <a:avLst/>
                    </a:prstGeom>
                    <a:noFill/>
                  </pic:spPr>
                </pic:pic>
              </a:graphicData>
            </a:graphic>
          </wp:inline>
        </w:drawing>
      </w:r>
    </w:p>
    <w:p w14:paraId="657D4FEB" w14:textId="77777777" w:rsidR="00B85E4A" w:rsidRDefault="00B85E4A" w:rsidP="00144954">
      <w:pPr>
        <w:spacing w:before="180" w:after="0" w:line="240" w:lineRule="auto"/>
        <w:jc w:val="both"/>
        <w:rPr>
          <w:rFonts w:cstheme="minorHAnsi"/>
          <w:b/>
          <w:u w:val="single"/>
        </w:rPr>
      </w:pPr>
      <w:r>
        <w:rPr>
          <w:rFonts w:cstheme="minorHAnsi"/>
          <w:b/>
          <w:u w:val="single"/>
        </w:rPr>
        <w:t xml:space="preserve">YJB National Standards </w:t>
      </w:r>
      <w:r w:rsidR="00D31BD8">
        <w:rPr>
          <w:rFonts w:cstheme="minorHAnsi"/>
          <w:b/>
          <w:u w:val="single"/>
        </w:rPr>
        <w:t xml:space="preserve">(2019) </w:t>
      </w:r>
      <w:r>
        <w:rPr>
          <w:rFonts w:cstheme="minorHAnsi"/>
          <w:b/>
          <w:u w:val="single"/>
        </w:rPr>
        <w:t xml:space="preserve">for </w:t>
      </w:r>
      <w:r w:rsidR="00D31BD8">
        <w:rPr>
          <w:rFonts w:cstheme="minorHAnsi"/>
          <w:b/>
          <w:u w:val="single"/>
        </w:rPr>
        <w:t>children and young people</w:t>
      </w:r>
    </w:p>
    <w:p w14:paraId="136FDCB7" w14:textId="77777777" w:rsidR="00B85E4A" w:rsidRDefault="00D31BD8" w:rsidP="00144954">
      <w:pPr>
        <w:spacing w:before="180" w:after="0" w:line="240" w:lineRule="auto"/>
        <w:jc w:val="both"/>
        <w:rPr>
          <w:color w:val="000000"/>
        </w:rPr>
      </w:pPr>
      <w:r w:rsidRPr="00D31BD8">
        <w:rPr>
          <w:color w:val="000000"/>
        </w:rPr>
        <w:t xml:space="preserve">These </w:t>
      </w:r>
      <w:r w:rsidRPr="00144954">
        <w:rPr>
          <w:iCs/>
          <w:color w:val="000000"/>
        </w:rPr>
        <w:t xml:space="preserve">standards for children </w:t>
      </w:r>
      <w:r w:rsidR="00385BE2">
        <w:rPr>
          <w:iCs/>
          <w:color w:val="000000"/>
        </w:rPr>
        <w:t xml:space="preserve">and young people </w:t>
      </w:r>
      <w:r w:rsidRPr="00144954">
        <w:rPr>
          <w:iCs/>
          <w:color w:val="000000"/>
        </w:rPr>
        <w:t>in the youth justice system</w:t>
      </w:r>
      <w:r w:rsidRPr="00D31BD8">
        <w:rPr>
          <w:i/>
          <w:iCs/>
          <w:color w:val="000000"/>
        </w:rPr>
        <w:t xml:space="preserve"> </w:t>
      </w:r>
      <w:r w:rsidRPr="00D31BD8">
        <w:rPr>
          <w:color w:val="000000"/>
        </w:rPr>
        <w:t>define the minimum expectation for all agencies that provide statutory services to ensure good outcomes for children</w:t>
      </w:r>
      <w:r w:rsidR="00385BE2" w:rsidRPr="00385BE2">
        <w:rPr>
          <w:rFonts w:cstheme="minorHAnsi"/>
        </w:rPr>
        <w:t xml:space="preserve"> </w:t>
      </w:r>
      <w:r w:rsidR="00385BE2">
        <w:rPr>
          <w:rFonts w:cstheme="minorHAnsi"/>
        </w:rPr>
        <w:t>and young people</w:t>
      </w:r>
      <w:r w:rsidRPr="00D31BD8">
        <w:rPr>
          <w:color w:val="000000"/>
        </w:rPr>
        <w:t xml:space="preserve"> in the youth justice system. They are set by the Secretary of State for Justice on the advice of the Youth Justice Board (YJB).</w:t>
      </w:r>
      <w:r>
        <w:rPr>
          <w:color w:val="000000"/>
        </w:rPr>
        <w:t xml:space="preserve"> </w:t>
      </w:r>
      <w:r w:rsidRPr="00D31BD8">
        <w:rPr>
          <w:color w:val="000000"/>
        </w:rPr>
        <w:t xml:space="preserve">These standards are intended to guide strategic and operational services’ understanding of </w:t>
      </w:r>
      <w:r w:rsidRPr="00D31BD8">
        <w:rPr>
          <w:b/>
          <w:bCs/>
          <w:i/>
          <w:iCs/>
          <w:color w:val="000000"/>
        </w:rPr>
        <w:t xml:space="preserve">what </w:t>
      </w:r>
      <w:r w:rsidRPr="00D31BD8">
        <w:rPr>
          <w:color w:val="000000"/>
        </w:rPr>
        <w:t>is expected, but does not prescribe how services should be designed and delivered. Each standard contains links to underpinning statutory guidance on the delivery of services.  Therefore</w:t>
      </w:r>
      <w:r w:rsidR="00CC4EA7">
        <w:rPr>
          <w:color w:val="000000"/>
        </w:rPr>
        <w:t>,</w:t>
      </w:r>
      <w:r w:rsidRPr="00D31BD8">
        <w:rPr>
          <w:color w:val="000000"/>
        </w:rPr>
        <w:t xml:space="preserve"> during Covid-19 the National Standards must </w:t>
      </w:r>
      <w:r>
        <w:rPr>
          <w:color w:val="000000"/>
        </w:rPr>
        <w:t xml:space="preserve">be the basis for how the </w:t>
      </w:r>
      <w:r w:rsidR="00CC4EA7">
        <w:rPr>
          <w:color w:val="000000"/>
        </w:rPr>
        <w:lastRenderedPageBreak/>
        <w:t>c</w:t>
      </w:r>
      <w:r>
        <w:rPr>
          <w:color w:val="000000"/>
        </w:rPr>
        <w:t xml:space="preserve">hildren and </w:t>
      </w:r>
      <w:r w:rsidR="00CC4EA7">
        <w:rPr>
          <w:color w:val="000000"/>
        </w:rPr>
        <w:t>y</w:t>
      </w:r>
      <w:r>
        <w:rPr>
          <w:color w:val="000000"/>
        </w:rPr>
        <w:t xml:space="preserve">oung </w:t>
      </w:r>
      <w:r w:rsidR="00CC4EA7">
        <w:rPr>
          <w:color w:val="000000"/>
        </w:rPr>
        <w:t>p</w:t>
      </w:r>
      <w:r>
        <w:rPr>
          <w:color w:val="000000"/>
        </w:rPr>
        <w:t xml:space="preserve">eople’s secure estate manage all resettlement work </w:t>
      </w:r>
      <w:r w:rsidR="00144954">
        <w:rPr>
          <w:color w:val="000000"/>
        </w:rPr>
        <w:t xml:space="preserve">whilst also working </w:t>
      </w:r>
      <w:r>
        <w:rPr>
          <w:color w:val="000000"/>
        </w:rPr>
        <w:t xml:space="preserve">within </w:t>
      </w:r>
      <w:r w:rsidR="00144954">
        <w:rPr>
          <w:color w:val="000000"/>
        </w:rPr>
        <w:t>the PHE guidelines</w:t>
      </w:r>
      <w:r w:rsidR="00CC4EA7">
        <w:rPr>
          <w:color w:val="000000"/>
        </w:rPr>
        <w:t>.</w:t>
      </w:r>
    </w:p>
    <w:p w14:paraId="45731300" w14:textId="77777777" w:rsidR="00144954" w:rsidRDefault="00144954" w:rsidP="008115A2">
      <w:pPr>
        <w:spacing w:before="180" w:after="0" w:line="216" w:lineRule="auto"/>
        <w:jc w:val="both"/>
        <w:rPr>
          <w:color w:val="000000"/>
        </w:rPr>
      </w:pPr>
      <w:r>
        <w:rPr>
          <w:color w:val="000000"/>
        </w:rPr>
        <w:t>The standards aim to:</w:t>
      </w:r>
    </w:p>
    <w:p w14:paraId="6AACBB84" w14:textId="77777777" w:rsidR="00144954" w:rsidRPr="00144954" w:rsidRDefault="00144954" w:rsidP="00144954">
      <w:pPr>
        <w:autoSpaceDE w:val="0"/>
        <w:autoSpaceDN w:val="0"/>
        <w:adjustRightInd w:val="0"/>
        <w:spacing w:after="0" w:line="240" w:lineRule="auto"/>
        <w:rPr>
          <w:rFonts w:ascii="Arial" w:hAnsi="Arial" w:cs="Arial"/>
          <w:color w:val="000000"/>
          <w:sz w:val="24"/>
          <w:szCs w:val="24"/>
        </w:rPr>
      </w:pPr>
    </w:p>
    <w:p w14:paraId="7FA2B2F5" w14:textId="77777777" w:rsidR="00144954" w:rsidRPr="00144954" w:rsidRDefault="00144954" w:rsidP="00144954">
      <w:pPr>
        <w:autoSpaceDE w:val="0"/>
        <w:autoSpaceDN w:val="0"/>
        <w:adjustRightInd w:val="0"/>
        <w:spacing w:after="79" w:line="240" w:lineRule="auto"/>
        <w:ind w:left="426" w:hanging="426"/>
        <w:rPr>
          <w:rFonts w:cstheme="minorHAnsi"/>
          <w:color w:val="000000"/>
        </w:rPr>
      </w:pPr>
      <w:r>
        <w:rPr>
          <w:rFonts w:cstheme="minorHAnsi"/>
          <w:color w:val="000000"/>
        </w:rPr>
        <w:t xml:space="preserve">1. </w:t>
      </w:r>
      <w:r>
        <w:rPr>
          <w:rFonts w:cstheme="minorHAnsi"/>
          <w:color w:val="000000"/>
        </w:rPr>
        <w:tab/>
      </w:r>
      <w:r w:rsidRPr="00144954">
        <w:rPr>
          <w:rFonts w:cstheme="minorHAnsi"/>
          <w:color w:val="000000"/>
        </w:rPr>
        <w:t xml:space="preserve">Prioritise the best interests of children, recognising their needs, capacities, rights and potential. </w:t>
      </w:r>
    </w:p>
    <w:p w14:paraId="1FB85273" w14:textId="77777777" w:rsidR="00144954" w:rsidRPr="00144954" w:rsidRDefault="00144954" w:rsidP="00144954">
      <w:pPr>
        <w:autoSpaceDE w:val="0"/>
        <w:autoSpaceDN w:val="0"/>
        <w:adjustRightInd w:val="0"/>
        <w:spacing w:after="79" w:line="240" w:lineRule="auto"/>
        <w:ind w:left="426" w:hanging="426"/>
        <w:rPr>
          <w:rFonts w:cstheme="minorHAnsi"/>
          <w:color w:val="000000"/>
        </w:rPr>
      </w:pPr>
      <w:r w:rsidRPr="00144954">
        <w:rPr>
          <w:rFonts w:cstheme="minorHAnsi"/>
          <w:color w:val="000000"/>
        </w:rPr>
        <w:t xml:space="preserve">2. </w:t>
      </w:r>
      <w:r>
        <w:rPr>
          <w:rFonts w:cstheme="minorHAnsi"/>
          <w:color w:val="000000"/>
        </w:rPr>
        <w:tab/>
      </w:r>
      <w:r w:rsidRPr="00144954">
        <w:rPr>
          <w:rFonts w:cstheme="minorHAnsi"/>
          <w:color w:val="000000"/>
        </w:rPr>
        <w:t xml:space="preserve">Build on children’s individual strengths and capabilities as a means of developing a pro-social identity for sustainable desistance from crime. This leads to safer communities and fewer victims. All work is constructive and future-focused, built on supportive relationships that empower children to fulfil their potential and make positive contributions to society. </w:t>
      </w:r>
    </w:p>
    <w:p w14:paraId="7D3FB98D" w14:textId="77777777" w:rsidR="00144954" w:rsidRPr="00144954" w:rsidRDefault="00144954" w:rsidP="00144954">
      <w:pPr>
        <w:autoSpaceDE w:val="0"/>
        <w:autoSpaceDN w:val="0"/>
        <w:adjustRightInd w:val="0"/>
        <w:spacing w:after="79" w:line="240" w:lineRule="auto"/>
        <w:ind w:left="426" w:hanging="426"/>
        <w:rPr>
          <w:rFonts w:cstheme="minorHAnsi"/>
          <w:color w:val="000000"/>
        </w:rPr>
      </w:pPr>
      <w:r w:rsidRPr="00144954">
        <w:rPr>
          <w:rFonts w:cstheme="minorHAnsi"/>
          <w:color w:val="000000"/>
        </w:rPr>
        <w:t xml:space="preserve">3. </w:t>
      </w:r>
      <w:r>
        <w:rPr>
          <w:rFonts w:cstheme="minorHAnsi"/>
          <w:color w:val="000000"/>
        </w:rPr>
        <w:tab/>
      </w:r>
      <w:r w:rsidRPr="00144954">
        <w:rPr>
          <w:rFonts w:cstheme="minorHAnsi"/>
          <w:color w:val="000000"/>
        </w:rPr>
        <w:t xml:space="preserve">Encourage children’s active participation, engagement and wider social inclusion. All work is a meaningful collaboration with children and their </w:t>
      </w:r>
      <w:proofErr w:type="spellStart"/>
      <w:r w:rsidRPr="00144954">
        <w:rPr>
          <w:rFonts w:cstheme="minorHAnsi"/>
          <w:color w:val="000000"/>
        </w:rPr>
        <w:t>carers</w:t>
      </w:r>
      <w:proofErr w:type="spellEnd"/>
      <w:r w:rsidRPr="00144954">
        <w:rPr>
          <w:rFonts w:cstheme="minorHAnsi"/>
          <w:color w:val="000000"/>
        </w:rPr>
        <w:t xml:space="preserve">. </w:t>
      </w:r>
    </w:p>
    <w:p w14:paraId="10BE43C5" w14:textId="77777777" w:rsidR="00144954" w:rsidRPr="00144954" w:rsidRDefault="00144954" w:rsidP="00144954">
      <w:pPr>
        <w:autoSpaceDE w:val="0"/>
        <w:autoSpaceDN w:val="0"/>
        <w:adjustRightInd w:val="0"/>
        <w:spacing w:after="0" w:line="240" w:lineRule="auto"/>
        <w:ind w:left="426" w:hanging="426"/>
        <w:rPr>
          <w:rFonts w:cstheme="minorHAnsi"/>
          <w:color w:val="000000"/>
        </w:rPr>
      </w:pPr>
      <w:r w:rsidRPr="00144954">
        <w:rPr>
          <w:rFonts w:cstheme="minorHAnsi"/>
          <w:color w:val="000000"/>
        </w:rPr>
        <w:t xml:space="preserve">4. </w:t>
      </w:r>
      <w:r>
        <w:rPr>
          <w:rFonts w:cstheme="minorHAnsi"/>
          <w:color w:val="000000"/>
        </w:rPr>
        <w:tab/>
      </w:r>
      <w:r w:rsidRPr="00144954">
        <w:rPr>
          <w:rFonts w:cstheme="minorHAnsi"/>
          <w:color w:val="000000"/>
        </w:rPr>
        <w:t xml:space="preserve">Promote a childhood removed from the justice system, using prevention, diversion and minimal intervention. All work minimises criminogenic stigma from contact with the system. </w:t>
      </w:r>
    </w:p>
    <w:p w14:paraId="6E3AA59E" w14:textId="77777777" w:rsidR="008115A2" w:rsidRPr="00144954" w:rsidRDefault="00144954" w:rsidP="008115A2">
      <w:pPr>
        <w:jc w:val="both"/>
        <w:rPr>
          <w:i/>
        </w:rPr>
      </w:pPr>
      <w:r w:rsidRPr="00144954">
        <w:rPr>
          <w:i/>
        </w:rPr>
        <w:t>(YJB National Standards, 2019)</w:t>
      </w:r>
    </w:p>
    <w:p w14:paraId="5AF0A26C" w14:textId="77777777" w:rsidR="00144954" w:rsidRDefault="00B756EF" w:rsidP="008115A2">
      <w:pPr>
        <w:jc w:val="both"/>
      </w:pPr>
      <w:r w:rsidRPr="00B756EF">
        <w:rPr>
          <w:b/>
        </w:rPr>
        <w:t>Standard 4</w:t>
      </w:r>
      <w:r w:rsidRPr="00B756EF">
        <w:t xml:space="preserve"> sets out the expectations for resettlement within the children</w:t>
      </w:r>
      <w:r>
        <w:t>’</w:t>
      </w:r>
      <w:r w:rsidRPr="00B756EF">
        <w:t>s and young people’s secure settings</w:t>
      </w:r>
      <w:r>
        <w:t>:</w:t>
      </w:r>
    </w:p>
    <w:p w14:paraId="5C93E52C" w14:textId="77777777" w:rsidR="00B756EF" w:rsidRPr="0002036B" w:rsidRDefault="00B756EF" w:rsidP="00B756EF">
      <w:pPr>
        <w:pStyle w:val="Default"/>
        <w:numPr>
          <w:ilvl w:val="0"/>
          <w:numId w:val="36"/>
        </w:numPr>
        <w:rPr>
          <w:rFonts w:asciiTheme="minorHAnsi" w:hAnsiTheme="minorHAnsi" w:cstheme="minorHAnsi"/>
          <w:sz w:val="22"/>
          <w:szCs w:val="22"/>
        </w:rPr>
      </w:pPr>
      <w:r w:rsidRPr="0002036B">
        <w:rPr>
          <w:rFonts w:asciiTheme="minorHAnsi" w:hAnsiTheme="minorHAnsi" w:cstheme="minorHAnsi"/>
          <w:sz w:val="22"/>
          <w:szCs w:val="22"/>
        </w:rPr>
        <w:t xml:space="preserve">transport used for children, from court to their destination establishment, to and from court while in custody, or used for other destinations (e.g. health appointments), is appropriate for children, and minimises delays </w:t>
      </w:r>
    </w:p>
    <w:p w14:paraId="30CB9DF4" w14:textId="77777777" w:rsidR="00B756EF" w:rsidRPr="0002036B" w:rsidRDefault="00B756EF" w:rsidP="00B756EF">
      <w:pPr>
        <w:pStyle w:val="Default"/>
        <w:numPr>
          <w:ilvl w:val="0"/>
          <w:numId w:val="36"/>
        </w:numPr>
        <w:rPr>
          <w:rFonts w:asciiTheme="minorHAnsi" w:hAnsiTheme="minorHAnsi" w:cstheme="minorHAnsi"/>
          <w:sz w:val="22"/>
          <w:szCs w:val="22"/>
        </w:rPr>
      </w:pPr>
      <w:r w:rsidRPr="0002036B">
        <w:rPr>
          <w:rFonts w:asciiTheme="minorHAnsi" w:hAnsiTheme="minorHAnsi" w:cstheme="minorHAnsi"/>
          <w:sz w:val="22"/>
          <w:szCs w:val="22"/>
        </w:rPr>
        <w:t xml:space="preserve">the needs and risks of children in secure establishments are identified, addressed, coordinated, and managed to enable a suitable, effective and constructive resettlement with a focus on continuing desistance </w:t>
      </w:r>
    </w:p>
    <w:p w14:paraId="0E7772BC" w14:textId="77777777" w:rsidR="00B756EF" w:rsidRPr="0002036B" w:rsidRDefault="00B756EF" w:rsidP="00B756EF">
      <w:pPr>
        <w:pStyle w:val="Default"/>
        <w:numPr>
          <w:ilvl w:val="0"/>
          <w:numId w:val="36"/>
        </w:numPr>
        <w:rPr>
          <w:rFonts w:asciiTheme="minorHAnsi" w:hAnsiTheme="minorHAnsi" w:cstheme="minorHAnsi"/>
          <w:sz w:val="22"/>
          <w:szCs w:val="22"/>
        </w:rPr>
      </w:pPr>
      <w:r w:rsidRPr="0002036B">
        <w:rPr>
          <w:rFonts w:asciiTheme="minorHAnsi" w:hAnsiTheme="minorHAnsi" w:cstheme="minorHAnsi"/>
          <w:sz w:val="22"/>
          <w:szCs w:val="22"/>
        </w:rPr>
        <w:t xml:space="preserve">all services, including education and health care, prioritise children’s best interests and recognises their needs, capacities, rights and potential </w:t>
      </w:r>
    </w:p>
    <w:p w14:paraId="177948A7" w14:textId="77777777" w:rsidR="00B756EF" w:rsidRPr="0002036B" w:rsidRDefault="00B756EF" w:rsidP="00B756EF">
      <w:pPr>
        <w:pStyle w:val="Default"/>
        <w:numPr>
          <w:ilvl w:val="0"/>
          <w:numId w:val="36"/>
        </w:numPr>
        <w:rPr>
          <w:rFonts w:asciiTheme="minorHAnsi" w:hAnsiTheme="minorHAnsi" w:cstheme="minorHAnsi"/>
          <w:sz w:val="22"/>
          <w:szCs w:val="22"/>
        </w:rPr>
      </w:pPr>
      <w:r w:rsidRPr="0002036B">
        <w:rPr>
          <w:rFonts w:asciiTheme="minorHAnsi" w:hAnsiTheme="minorHAnsi" w:cstheme="minorHAnsi"/>
          <w:sz w:val="22"/>
          <w:szCs w:val="22"/>
        </w:rPr>
        <w:t xml:space="preserve">services take all action to address the causes of a child’s offending behaviour and any unmet social, emotional, health or educational needs </w:t>
      </w:r>
    </w:p>
    <w:p w14:paraId="22E4E48B" w14:textId="77777777" w:rsidR="00B756EF" w:rsidRPr="0002036B" w:rsidRDefault="00B756EF" w:rsidP="00B756EF">
      <w:pPr>
        <w:pStyle w:val="Default"/>
        <w:numPr>
          <w:ilvl w:val="0"/>
          <w:numId w:val="36"/>
        </w:numPr>
        <w:rPr>
          <w:rFonts w:asciiTheme="minorHAnsi" w:hAnsiTheme="minorHAnsi" w:cstheme="minorHAnsi"/>
          <w:sz w:val="22"/>
          <w:szCs w:val="22"/>
        </w:rPr>
      </w:pPr>
      <w:r w:rsidRPr="0002036B">
        <w:rPr>
          <w:rFonts w:asciiTheme="minorHAnsi" w:hAnsiTheme="minorHAnsi" w:cstheme="minorHAnsi"/>
          <w:sz w:val="22"/>
          <w:szCs w:val="22"/>
        </w:rPr>
        <w:t xml:space="preserve">the environment that children live in is rehabilitative and safe and one where there is a culture that enables children to develop, grow and learn </w:t>
      </w:r>
    </w:p>
    <w:p w14:paraId="422072FA" w14:textId="77777777" w:rsidR="00B756EF" w:rsidRPr="0002036B" w:rsidRDefault="00B756EF" w:rsidP="00B756EF">
      <w:pPr>
        <w:pStyle w:val="Default"/>
        <w:numPr>
          <w:ilvl w:val="0"/>
          <w:numId w:val="36"/>
        </w:numPr>
        <w:rPr>
          <w:rFonts w:asciiTheme="minorHAnsi" w:hAnsiTheme="minorHAnsi" w:cstheme="minorHAnsi"/>
          <w:sz w:val="22"/>
          <w:szCs w:val="22"/>
        </w:rPr>
      </w:pPr>
      <w:r w:rsidRPr="0002036B">
        <w:rPr>
          <w:rFonts w:asciiTheme="minorHAnsi" w:hAnsiTheme="minorHAnsi" w:cstheme="minorHAnsi"/>
          <w:sz w:val="22"/>
          <w:szCs w:val="22"/>
        </w:rPr>
        <w:t xml:space="preserve">children are motivated by staff to have an opportunity to engage in appropriate, high-quality education and training that helps them to make good progress </w:t>
      </w:r>
    </w:p>
    <w:p w14:paraId="71E7A96C" w14:textId="77777777" w:rsidR="00B756EF" w:rsidRPr="0002036B" w:rsidRDefault="00B756EF" w:rsidP="00B756EF">
      <w:pPr>
        <w:pStyle w:val="Default"/>
        <w:numPr>
          <w:ilvl w:val="0"/>
          <w:numId w:val="36"/>
        </w:numPr>
        <w:rPr>
          <w:rFonts w:asciiTheme="minorHAnsi" w:hAnsiTheme="minorHAnsi" w:cstheme="minorHAnsi"/>
          <w:sz w:val="22"/>
          <w:szCs w:val="22"/>
        </w:rPr>
      </w:pPr>
      <w:r w:rsidRPr="0002036B">
        <w:rPr>
          <w:rFonts w:asciiTheme="minorHAnsi" w:hAnsiTheme="minorHAnsi" w:cstheme="minorHAnsi"/>
          <w:sz w:val="22"/>
          <w:szCs w:val="22"/>
        </w:rPr>
        <w:t xml:space="preserve">effective communication and information exchange is in place for the preparation and delivery of the secure and the community phase of sentences </w:t>
      </w:r>
    </w:p>
    <w:p w14:paraId="5F5B94CF" w14:textId="77777777" w:rsidR="00B756EF" w:rsidRPr="0002036B" w:rsidRDefault="00B756EF" w:rsidP="00B756EF">
      <w:pPr>
        <w:pStyle w:val="Default"/>
        <w:numPr>
          <w:ilvl w:val="0"/>
          <w:numId w:val="36"/>
        </w:numPr>
        <w:rPr>
          <w:rFonts w:asciiTheme="minorHAnsi" w:hAnsiTheme="minorHAnsi" w:cstheme="minorHAnsi"/>
          <w:sz w:val="22"/>
          <w:szCs w:val="22"/>
        </w:rPr>
      </w:pPr>
      <w:r w:rsidRPr="0002036B">
        <w:rPr>
          <w:rFonts w:asciiTheme="minorHAnsi" w:hAnsiTheme="minorHAnsi" w:cstheme="minorHAnsi"/>
          <w:sz w:val="22"/>
          <w:szCs w:val="22"/>
        </w:rPr>
        <w:t xml:space="preserve">there is a robust approach to holding services and agencies to account in the event of insufficient planning and delivery of the transition and or resettlement plan for a child </w:t>
      </w:r>
    </w:p>
    <w:p w14:paraId="5768BDB6" w14:textId="77777777" w:rsidR="00B756EF" w:rsidRPr="0002036B" w:rsidRDefault="00B756EF" w:rsidP="00B756EF">
      <w:pPr>
        <w:pStyle w:val="Default"/>
        <w:numPr>
          <w:ilvl w:val="0"/>
          <w:numId w:val="36"/>
        </w:numPr>
        <w:rPr>
          <w:rFonts w:asciiTheme="minorHAnsi" w:hAnsiTheme="minorHAnsi" w:cstheme="minorHAnsi"/>
          <w:sz w:val="22"/>
          <w:szCs w:val="22"/>
        </w:rPr>
      </w:pPr>
      <w:r w:rsidRPr="0002036B">
        <w:rPr>
          <w:rFonts w:asciiTheme="minorHAnsi" w:hAnsiTheme="minorHAnsi" w:cstheme="minorHAnsi"/>
          <w:sz w:val="22"/>
          <w:szCs w:val="22"/>
        </w:rPr>
        <w:t xml:space="preserve">communication between professionals is in line with Youth Custody Service requirements </w:t>
      </w:r>
    </w:p>
    <w:p w14:paraId="6842DA43" w14:textId="77777777" w:rsidR="00B756EF" w:rsidRDefault="00B756EF" w:rsidP="00B756EF">
      <w:pPr>
        <w:pStyle w:val="Default"/>
        <w:numPr>
          <w:ilvl w:val="0"/>
          <w:numId w:val="36"/>
        </w:numPr>
        <w:rPr>
          <w:rFonts w:asciiTheme="minorHAnsi" w:hAnsiTheme="minorHAnsi" w:cstheme="minorHAnsi"/>
          <w:sz w:val="22"/>
          <w:szCs w:val="22"/>
        </w:rPr>
      </w:pPr>
      <w:r w:rsidRPr="0002036B">
        <w:rPr>
          <w:rFonts w:asciiTheme="minorHAnsi" w:hAnsiTheme="minorHAnsi" w:cstheme="minorHAnsi"/>
          <w:sz w:val="22"/>
          <w:szCs w:val="22"/>
        </w:rPr>
        <w:t>services, plans and interventions take account of diverse needs and promote equality</w:t>
      </w:r>
    </w:p>
    <w:p w14:paraId="67BC32CD" w14:textId="77777777" w:rsidR="00B756EF" w:rsidRPr="0002036B" w:rsidRDefault="00B756EF" w:rsidP="00B756EF">
      <w:pPr>
        <w:pStyle w:val="Default"/>
        <w:numPr>
          <w:ilvl w:val="0"/>
          <w:numId w:val="36"/>
        </w:numPr>
        <w:rPr>
          <w:rFonts w:asciiTheme="minorHAnsi" w:hAnsiTheme="minorHAnsi" w:cstheme="minorHAnsi"/>
          <w:sz w:val="22"/>
          <w:szCs w:val="22"/>
        </w:rPr>
      </w:pPr>
      <w:r w:rsidRPr="0002036B">
        <w:rPr>
          <w:rFonts w:asciiTheme="minorHAnsi" w:hAnsiTheme="minorHAnsi" w:cstheme="minorHAnsi"/>
          <w:sz w:val="22"/>
          <w:szCs w:val="22"/>
        </w:rPr>
        <w:t xml:space="preserve">safeguarding information is conveyed to relevant parties and agencies without delay </w:t>
      </w:r>
    </w:p>
    <w:p w14:paraId="39F5C2FB" w14:textId="77777777" w:rsidR="00B756EF" w:rsidRPr="0002036B" w:rsidRDefault="00B756EF" w:rsidP="00B756EF">
      <w:pPr>
        <w:pStyle w:val="Default"/>
        <w:numPr>
          <w:ilvl w:val="0"/>
          <w:numId w:val="36"/>
        </w:numPr>
        <w:rPr>
          <w:rFonts w:asciiTheme="minorHAnsi" w:hAnsiTheme="minorHAnsi" w:cstheme="minorHAnsi"/>
          <w:sz w:val="22"/>
          <w:szCs w:val="22"/>
        </w:rPr>
      </w:pPr>
      <w:r w:rsidRPr="0002036B">
        <w:rPr>
          <w:rFonts w:asciiTheme="minorHAnsi" w:hAnsiTheme="minorHAnsi" w:cstheme="minorHAnsi"/>
          <w:sz w:val="22"/>
          <w:szCs w:val="22"/>
        </w:rPr>
        <w:t xml:space="preserve">strategic partnerships and secure establishment providers have confidence in the quality of services and in the effectiveness of supervision of children and all service provision prioritises the child’s best interest </w:t>
      </w:r>
    </w:p>
    <w:p w14:paraId="2445EF3A" w14:textId="77777777" w:rsidR="00B756EF" w:rsidRPr="0002036B" w:rsidRDefault="00B756EF" w:rsidP="00B756EF">
      <w:pPr>
        <w:pStyle w:val="Default"/>
        <w:numPr>
          <w:ilvl w:val="0"/>
          <w:numId w:val="36"/>
        </w:numPr>
        <w:rPr>
          <w:rFonts w:asciiTheme="minorHAnsi" w:hAnsiTheme="minorHAnsi" w:cstheme="minorHAnsi"/>
          <w:sz w:val="22"/>
          <w:szCs w:val="22"/>
        </w:rPr>
      </w:pPr>
      <w:r w:rsidRPr="0002036B">
        <w:rPr>
          <w:rFonts w:asciiTheme="minorHAnsi" w:hAnsiTheme="minorHAnsi" w:cstheme="minorHAnsi"/>
          <w:sz w:val="22"/>
          <w:szCs w:val="22"/>
        </w:rPr>
        <w:t xml:space="preserve">children and their parents and carers are provided with appropriate information and support during the secure phase of the sentence. </w:t>
      </w:r>
    </w:p>
    <w:p w14:paraId="29F747F5" w14:textId="77777777" w:rsidR="00B756EF" w:rsidRPr="00B756EF" w:rsidRDefault="00B756EF" w:rsidP="008115A2">
      <w:pPr>
        <w:jc w:val="both"/>
      </w:pPr>
    </w:p>
    <w:p w14:paraId="0E904B36" w14:textId="77777777" w:rsidR="00B756EF" w:rsidRPr="00B756EF" w:rsidRDefault="00B756EF" w:rsidP="008115A2">
      <w:pPr>
        <w:jc w:val="both"/>
        <w:rPr>
          <w:b/>
          <w:u w:val="single"/>
        </w:rPr>
      </w:pPr>
      <w:r>
        <w:rPr>
          <w:b/>
          <w:u w:val="single"/>
        </w:rPr>
        <w:t xml:space="preserve">Looked After Children </w:t>
      </w:r>
    </w:p>
    <w:p w14:paraId="50A21BDA" w14:textId="77777777" w:rsidR="00B756EF" w:rsidRDefault="005465C3" w:rsidP="008115A2">
      <w:pPr>
        <w:jc w:val="both"/>
      </w:pPr>
      <w:r>
        <w:t>A significant proportion of children</w:t>
      </w:r>
      <w:r w:rsidR="00385BE2" w:rsidRPr="00385BE2">
        <w:rPr>
          <w:rFonts w:cstheme="minorHAnsi"/>
        </w:rPr>
        <w:t xml:space="preserve"> </w:t>
      </w:r>
      <w:r w:rsidR="00385BE2">
        <w:rPr>
          <w:rFonts w:cstheme="minorHAnsi"/>
        </w:rPr>
        <w:t>and young people</w:t>
      </w:r>
      <w:r>
        <w:t xml:space="preserve"> in custody are also Looked After Children in the care of their home local authority. This includes but is not limited to all children</w:t>
      </w:r>
      <w:r w:rsidR="00385BE2" w:rsidRPr="00385BE2">
        <w:rPr>
          <w:rFonts w:cstheme="minorHAnsi"/>
        </w:rPr>
        <w:t xml:space="preserve"> </w:t>
      </w:r>
      <w:r w:rsidR="00385BE2">
        <w:rPr>
          <w:rFonts w:cstheme="minorHAnsi"/>
        </w:rPr>
        <w:t>and young people</w:t>
      </w:r>
      <w:r>
        <w:t xml:space="preserve"> on remand, in accordance with the LASPO Act 2012. </w:t>
      </w:r>
    </w:p>
    <w:p w14:paraId="76134DBD" w14:textId="77777777" w:rsidR="005465C3" w:rsidRDefault="005465C3" w:rsidP="008115A2">
      <w:pPr>
        <w:jc w:val="both"/>
      </w:pPr>
      <w:r>
        <w:lastRenderedPageBreak/>
        <w:t>The requirements of the Children Act 1989, and therefore its amendments, apply to all children</w:t>
      </w:r>
      <w:r w:rsidR="00385BE2" w:rsidRPr="00385BE2">
        <w:rPr>
          <w:rFonts w:cstheme="minorHAnsi"/>
        </w:rPr>
        <w:t xml:space="preserve"> </w:t>
      </w:r>
      <w:r w:rsidR="00385BE2">
        <w:rPr>
          <w:rFonts w:cstheme="minorHAnsi"/>
        </w:rPr>
        <w:t>and young people</w:t>
      </w:r>
      <w:r>
        <w:t xml:space="preserve"> in custody in accordance with Case Law brought by the Howard League in 2002</w:t>
      </w:r>
      <w:r w:rsidR="00B205E4">
        <w:t>. This effectively means that c</w:t>
      </w:r>
      <w:r>
        <w:t xml:space="preserve">hildren in custody have the same rights and protections as their counterparts who are not in custody. </w:t>
      </w:r>
    </w:p>
    <w:p w14:paraId="5D9A39CE" w14:textId="77777777" w:rsidR="008115A2" w:rsidRDefault="00B756EF" w:rsidP="008115A2">
      <w:pPr>
        <w:jc w:val="both"/>
      </w:pPr>
      <w:r>
        <w:t>As with all aspects of the regime and work undertaken with children and young people during C</w:t>
      </w:r>
      <w:r w:rsidR="00385BE2">
        <w:t>OVID</w:t>
      </w:r>
      <w:r>
        <w:t xml:space="preserve">-19, sites should ensure they </w:t>
      </w:r>
      <w:r w:rsidR="008115A2">
        <w:t>maintain</w:t>
      </w:r>
      <w:r>
        <w:t xml:space="preserve"> and adhere to</w:t>
      </w:r>
      <w:r w:rsidR="008115A2">
        <w:t xml:space="preserve"> PHE guidelines on physical distancing</w:t>
      </w:r>
      <w:r>
        <w:t xml:space="preserve"> whilst carrying out resettlement work with children and young people</w:t>
      </w:r>
      <w:r w:rsidR="008115A2">
        <w:t xml:space="preserve">. In cell telephony if available can be used or </w:t>
      </w:r>
      <w:r>
        <w:t>unit</w:t>
      </w:r>
      <w:r w:rsidR="008115A2">
        <w:t>-based interview rooms where physical distancing guidelines can be adhered to.</w:t>
      </w:r>
      <w:r>
        <w:t xml:space="preserve"> Meetings can be held via video conferencing or telephone conferencing and outside agencies must not visit the site without following the guidance set out in the Professional Visits EDM. </w:t>
      </w:r>
      <w:r w:rsidR="008115A2">
        <w:t xml:space="preserve"> Many </w:t>
      </w:r>
      <w:r>
        <w:t>Resettlement departments</w:t>
      </w:r>
      <w:r w:rsidR="008115A2">
        <w:t xml:space="preserve"> have open plan offices, consideration must be given to the requirements of </w:t>
      </w:r>
      <w:r w:rsidR="00CC4EA7">
        <w:t>physical</w:t>
      </w:r>
      <w:r w:rsidR="008115A2">
        <w:t xml:space="preserve"> distancing within this environment which needs to be </w:t>
      </w:r>
      <w:proofErr w:type="gramStart"/>
      <w:r w:rsidR="008115A2">
        <w:t>taken into account</w:t>
      </w:r>
      <w:proofErr w:type="gramEnd"/>
      <w:r w:rsidR="008115A2">
        <w:t xml:space="preserve"> in Risk Assessments and SSOW.</w:t>
      </w:r>
    </w:p>
    <w:p w14:paraId="00A86E47" w14:textId="77777777" w:rsidR="008115A2" w:rsidRPr="00713271" w:rsidRDefault="008115A2" w:rsidP="008115A2">
      <w:pPr>
        <w:jc w:val="both"/>
      </w:pPr>
      <w:r>
        <w:t xml:space="preserve">The movement of </w:t>
      </w:r>
      <w:r w:rsidR="00CC4EA7">
        <w:t>children, young people</w:t>
      </w:r>
      <w:r>
        <w:t xml:space="preserve"> and staff around the </w:t>
      </w:r>
      <w:r w:rsidR="00CC4EA7">
        <w:t>site in order</w:t>
      </w:r>
      <w:r>
        <w:t xml:space="preserve"> to facilitate </w:t>
      </w:r>
      <w:r w:rsidR="00CC4EA7">
        <w:t>resettlement work</w:t>
      </w:r>
      <w:r>
        <w:t xml:space="preserve"> must be avoided, and </w:t>
      </w:r>
      <w:proofErr w:type="spellStart"/>
      <w:r>
        <w:t>cohorting</w:t>
      </w:r>
      <w:proofErr w:type="spellEnd"/>
      <w:r>
        <w:t xml:space="preserve"> arrangements adhered to and not compromised. An arrangement allocating </w:t>
      </w:r>
      <w:r w:rsidR="00CC4EA7">
        <w:t xml:space="preserve">resettlement </w:t>
      </w:r>
      <w:r w:rsidR="00CC4EA7" w:rsidRPr="00713271">
        <w:t>practitioners/caseworkers</w:t>
      </w:r>
      <w:r w:rsidRPr="00713271">
        <w:t xml:space="preserve"> to specific parts of the </w:t>
      </w:r>
      <w:r w:rsidR="00CC4EA7" w:rsidRPr="00713271">
        <w:t>site</w:t>
      </w:r>
      <w:r w:rsidRPr="00713271">
        <w:t xml:space="preserve"> </w:t>
      </w:r>
      <w:r w:rsidR="00777258" w:rsidRPr="00713271">
        <w:t>must be arranged</w:t>
      </w:r>
      <w:r w:rsidRPr="00713271">
        <w:t xml:space="preserve"> during this period to minimise the risk of the spread of infection. </w:t>
      </w:r>
    </w:p>
    <w:p w14:paraId="589B567C" w14:textId="77777777" w:rsidR="008115A2" w:rsidRDefault="008115A2" w:rsidP="008115A2">
      <w:pPr>
        <w:jc w:val="both"/>
      </w:pPr>
      <w:r>
        <w:t xml:space="preserve">It is recognised that there may be exceptional local circumstances such as a new, significant outbreak of COVID-19 cases or a high level of staff absence where even the minimum level cannot be delivered. </w:t>
      </w:r>
    </w:p>
    <w:p w14:paraId="5A51B1D5" w14:textId="77777777" w:rsidR="001C1F52" w:rsidRPr="00FD37A4" w:rsidRDefault="001C1F52" w:rsidP="001C1F52">
      <w:pPr>
        <w:rPr>
          <w:b/>
          <w:iCs/>
        </w:rPr>
      </w:pPr>
      <w:r w:rsidRPr="00FD37A4">
        <w:rPr>
          <w:b/>
          <w:iCs/>
        </w:rPr>
        <w:t>When delivering and risk assessing this EDM please consider the following:</w:t>
      </w:r>
    </w:p>
    <w:p w14:paraId="0B201512" w14:textId="77777777" w:rsidR="001C1F52" w:rsidRPr="00FD37A4" w:rsidRDefault="001C1F52" w:rsidP="001C1F52">
      <w:pPr>
        <w:numPr>
          <w:ilvl w:val="0"/>
          <w:numId w:val="37"/>
        </w:numPr>
        <w:spacing w:line="252" w:lineRule="auto"/>
        <w:contextualSpacing/>
        <w:rPr>
          <w:rFonts w:eastAsia="Times New Roman"/>
          <w:iCs/>
        </w:rPr>
      </w:pPr>
      <w:r w:rsidRPr="00FD37A4">
        <w:rPr>
          <w:rFonts w:eastAsia="Times New Roman"/>
          <w:iCs/>
        </w:rPr>
        <w:t xml:space="preserve">The required provision of PPE, the application of social distancing and maintenance of infection control measures in accordance with PHE advice. </w:t>
      </w:r>
    </w:p>
    <w:p w14:paraId="68D4FB19" w14:textId="77777777" w:rsidR="001C1F52" w:rsidRPr="00FD37A4" w:rsidRDefault="001C1F52" w:rsidP="001C1F52">
      <w:pPr>
        <w:numPr>
          <w:ilvl w:val="0"/>
          <w:numId w:val="37"/>
        </w:numPr>
        <w:spacing w:line="252" w:lineRule="auto"/>
        <w:contextualSpacing/>
        <w:rPr>
          <w:rFonts w:eastAsia="Times New Roman"/>
          <w:iCs/>
        </w:rPr>
      </w:pPr>
      <w:r w:rsidRPr="00FD37A4">
        <w:rPr>
          <w:rFonts w:eastAsia="Times New Roman"/>
          <w:iCs/>
        </w:rPr>
        <w:t xml:space="preserve">the cumulative impact on movements of people into and out from the premises when implementing this EMD alongside others  </w:t>
      </w:r>
    </w:p>
    <w:p w14:paraId="4DB1EAB0" w14:textId="77777777" w:rsidR="001C1F52" w:rsidRPr="00FD37A4" w:rsidRDefault="001C1F52" w:rsidP="001C1F52">
      <w:pPr>
        <w:numPr>
          <w:ilvl w:val="0"/>
          <w:numId w:val="37"/>
        </w:numPr>
        <w:spacing w:line="252" w:lineRule="auto"/>
        <w:contextualSpacing/>
        <w:rPr>
          <w:rFonts w:eastAsia="Times New Roman"/>
          <w:iCs/>
        </w:rPr>
      </w:pPr>
      <w:r w:rsidRPr="00FD37A4">
        <w:rPr>
          <w:rFonts w:eastAsia="Times New Roman"/>
          <w:iCs/>
        </w:rPr>
        <w:t xml:space="preserve">Any risk posed to vulnerable groups </w:t>
      </w:r>
    </w:p>
    <w:p w14:paraId="3D853E66" w14:textId="77777777" w:rsidR="001C1F52" w:rsidRPr="00FD37A4" w:rsidRDefault="001C1F52" w:rsidP="001C1F52">
      <w:pPr>
        <w:numPr>
          <w:ilvl w:val="0"/>
          <w:numId w:val="37"/>
        </w:numPr>
        <w:spacing w:line="252" w:lineRule="auto"/>
        <w:contextualSpacing/>
        <w:rPr>
          <w:rFonts w:eastAsia="Times New Roman"/>
          <w:iCs/>
        </w:rPr>
      </w:pPr>
      <w:r w:rsidRPr="00FD37A4">
        <w:rPr>
          <w:rFonts w:eastAsia="Times New Roman"/>
          <w:iCs/>
        </w:rPr>
        <w:t>The application of NHS England core principles:</w:t>
      </w:r>
    </w:p>
    <w:p w14:paraId="3BB7AE70" w14:textId="77777777" w:rsidR="001C1F52" w:rsidRPr="00FD37A4" w:rsidRDefault="001C1F52" w:rsidP="001C1F52">
      <w:pPr>
        <w:spacing w:line="252" w:lineRule="auto"/>
        <w:contextualSpacing/>
        <w:rPr>
          <w:iCs/>
        </w:rPr>
      </w:pPr>
    </w:p>
    <w:p w14:paraId="10ABE14C" w14:textId="77777777" w:rsidR="001C1F52" w:rsidRPr="00FD37A4" w:rsidRDefault="001C1F52" w:rsidP="001C1F52">
      <w:pPr>
        <w:numPr>
          <w:ilvl w:val="0"/>
          <w:numId w:val="38"/>
        </w:numPr>
        <w:spacing w:after="0" w:line="240" w:lineRule="auto"/>
        <w:rPr>
          <w:rFonts w:eastAsia="Times New Roman"/>
          <w:iCs/>
        </w:rPr>
      </w:pPr>
      <w:r w:rsidRPr="00FD37A4">
        <w:rPr>
          <w:rFonts w:eastAsia="Times New Roman"/>
          <w:b/>
          <w:bCs/>
          <w:iCs/>
        </w:rPr>
        <w:t>CONNECT:</w:t>
      </w:r>
      <w:r w:rsidRPr="00FD37A4">
        <w:rPr>
          <w:rFonts w:eastAsia="Times New Roman"/>
          <w:iCs/>
        </w:rPr>
        <w:t xml:space="preserve"> The single biggest risk to mental well-being is isolation and disconnection from others. In the Secure Estate, given the increased risks of social isolation at this time, it is essential we maximise opportunities for relational connection, whilst maintaining physical distance.</w:t>
      </w:r>
    </w:p>
    <w:p w14:paraId="2CEED596" w14:textId="77777777" w:rsidR="001C1F52" w:rsidRPr="00FD37A4" w:rsidRDefault="001C1F52" w:rsidP="001C1F52">
      <w:pPr>
        <w:numPr>
          <w:ilvl w:val="0"/>
          <w:numId w:val="38"/>
        </w:numPr>
        <w:spacing w:after="0" w:line="240" w:lineRule="auto"/>
        <w:rPr>
          <w:rFonts w:eastAsia="Times New Roman"/>
          <w:iCs/>
        </w:rPr>
      </w:pPr>
      <w:r w:rsidRPr="00FD37A4">
        <w:rPr>
          <w:rFonts w:eastAsia="Times New Roman"/>
          <w:b/>
          <w:bCs/>
          <w:iCs/>
        </w:rPr>
        <w:t>Maintain Relevant Contacts:</w:t>
      </w:r>
      <w:r w:rsidRPr="00FD37A4">
        <w:rPr>
          <w:rFonts w:eastAsia="Times New Roman"/>
          <w:iCs/>
        </w:rPr>
        <w:t xml:space="preserve"> Priority should be given to ensuring children and young people can maintain contact with family and Youth Offending Team worker.</w:t>
      </w:r>
    </w:p>
    <w:p w14:paraId="61849F13" w14:textId="77777777" w:rsidR="001C1F52" w:rsidRPr="00FD37A4" w:rsidRDefault="001C1F52" w:rsidP="001C1F52">
      <w:pPr>
        <w:numPr>
          <w:ilvl w:val="0"/>
          <w:numId w:val="38"/>
        </w:numPr>
        <w:spacing w:after="0" w:line="240" w:lineRule="auto"/>
        <w:rPr>
          <w:rFonts w:eastAsia="Times New Roman"/>
          <w:iCs/>
        </w:rPr>
      </w:pPr>
      <w:r w:rsidRPr="00FD37A4">
        <w:rPr>
          <w:rFonts w:eastAsia="Times New Roman"/>
          <w:b/>
          <w:bCs/>
          <w:iCs/>
        </w:rPr>
        <w:t>Promote Physical Health:</w:t>
      </w:r>
      <w:r w:rsidRPr="00FD37A4">
        <w:rPr>
          <w:rFonts w:eastAsia="Times New Roman"/>
          <w:iCs/>
        </w:rPr>
        <w:t xml:space="preserve"> Maximise personal and hand hygiene. </w:t>
      </w:r>
    </w:p>
    <w:p w14:paraId="37D795F6" w14:textId="77777777" w:rsidR="001C1F52" w:rsidRPr="00FD37A4" w:rsidRDefault="001C1F52" w:rsidP="001C1F52">
      <w:pPr>
        <w:numPr>
          <w:ilvl w:val="0"/>
          <w:numId w:val="38"/>
        </w:numPr>
        <w:spacing w:after="0" w:line="240" w:lineRule="auto"/>
        <w:rPr>
          <w:rFonts w:eastAsia="Times New Roman"/>
          <w:iCs/>
        </w:rPr>
      </w:pPr>
      <w:r w:rsidRPr="00FD37A4">
        <w:rPr>
          <w:rFonts w:eastAsia="Times New Roman"/>
          <w:b/>
          <w:bCs/>
          <w:iCs/>
        </w:rPr>
        <w:t>Provide as much fresh air as possible:</w:t>
      </w:r>
      <w:r w:rsidRPr="00FD37A4">
        <w:rPr>
          <w:rFonts w:eastAsia="Times New Roman"/>
          <w:iCs/>
        </w:rPr>
        <w:t xml:space="preserve"> Maintain good physical and mental health by maximising physical activity and access to fresh air (in line with physical distancing guidance).</w:t>
      </w:r>
    </w:p>
    <w:p w14:paraId="64A0D415" w14:textId="77777777" w:rsidR="001C1F52" w:rsidRPr="00FD37A4" w:rsidRDefault="001C1F52" w:rsidP="001C1F52">
      <w:pPr>
        <w:numPr>
          <w:ilvl w:val="0"/>
          <w:numId w:val="38"/>
        </w:numPr>
        <w:spacing w:after="0" w:line="240" w:lineRule="auto"/>
        <w:rPr>
          <w:rFonts w:eastAsia="Times New Roman"/>
          <w:iCs/>
        </w:rPr>
      </w:pPr>
      <w:r w:rsidRPr="00FD37A4">
        <w:rPr>
          <w:rFonts w:eastAsia="Times New Roman"/>
          <w:b/>
          <w:bCs/>
          <w:iCs/>
        </w:rPr>
        <w:t>Structure the day &amp; create routine:</w:t>
      </w:r>
      <w:r w:rsidRPr="00FD37A4">
        <w:rPr>
          <w:rFonts w:eastAsia="Times New Roman"/>
          <w:iCs/>
        </w:rPr>
        <w:t xml:space="preserve"> Structure can be helpful especially when living with others, as it allows a sense of predictability and control. Establishing (or maintaining) a sense of routine is essential. Ensure regular timing for access to medication, including those who may have received a diagnosis of ADHD.</w:t>
      </w:r>
    </w:p>
    <w:p w14:paraId="08F5220B" w14:textId="77777777" w:rsidR="001C1F52" w:rsidRPr="00FD37A4" w:rsidRDefault="001C1F52" w:rsidP="001C1F52">
      <w:pPr>
        <w:numPr>
          <w:ilvl w:val="0"/>
          <w:numId w:val="38"/>
        </w:numPr>
        <w:spacing w:after="0" w:line="240" w:lineRule="auto"/>
        <w:rPr>
          <w:rFonts w:eastAsia="Times New Roman"/>
          <w:iCs/>
        </w:rPr>
      </w:pPr>
      <w:r w:rsidRPr="00FD37A4">
        <w:rPr>
          <w:rFonts w:eastAsia="Times New Roman"/>
          <w:b/>
          <w:bCs/>
          <w:iCs/>
        </w:rPr>
        <w:t>Ensuring there are activities to do:</w:t>
      </w:r>
      <w:r w:rsidRPr="00FD37A4">
        <w:rPr>
          <w:rFonts w:eastAsia="Times New Roman"/>
          <w:iCs/>
        </w:rPr>
        <w:t xml:space="preserve"> The need for meaningful activity is paramount in protecting well-being and preventing challenging behaviour. </w:t>
      </w:r>
    </w:p>
    <w:p w14:paraId="3F27AF80" w14:textId="77777777" w:rsidR="001C1F52" w:rsidRPr="00FD37A4" w:rsidRDefault="001C1F52" w:rsidP="001C1F52">
      <w:pPr>
        <w:numPr>
          <w:ilvl w:val="0"/>
          <w:numId w:val="38"/>
        </w:numPr>
        <w:spacing w:after="0" w:line="240" w:lineRule="auto"/>
        <w:rPr>
          <w:rFonts w:eastAsia="Times New Roman"/>
          <w:iCs/>
        </w:rPr>
      </w:pPr>
      <w:r w:rsidRPr="00FD37A4">
        <w:rPr>
          <w:rFonts w:eastAsia="Times New Roman"/>
          <w:b/>
          <w:bCs/>
          <w:iCs/>
        </w:rPr>
        <w:t>Allocate or maintain meaningful roles:</w:t>
      </w:r>
      <w:r w:rsidRPr="00FD37A4">
        <w:rPr>
          <w:rFonts w:eastAsia="Times New Roman"/>
          <w:iCs/>
        </w:rPr>
        <w:t xml:space="preserve"> Where possible, allow young people to maintain or develop </w:t>
      </w:r>
      <w:proofErr w:type="gramStart"/>
      <w:r w:rsidRPr="00FD37A4">
        <w:rPr>
          <w:rFonts w:eastAsia="Times New Roman"/>
          <w:iCs/>
        </w:rPr>
        <w:t>particular roles</w:t>
      </w:r>
      <w:proofErr w:type="gramEnd"/>
      <w:r w:rsidRPr="00FD37A4">
        <w:rPr>
          <w:rFonts w:eastAsia="Times New Roman"/>
          <w:iCs/>
        </w:rPr>
        <w:t xml:space="preserve"> and responsibilities, either as individuals or groups. This may be as helpers, mentors, entertainers etc. Developing a respected role is important in maintaining purpose and belonging with others.</w:t>
      </w:r>
    </w:p>
    <w:p w14:paraId="7084A17B" w14:textId="77777777" w:rsidR="001C1F52" w:rsidRPr="00FD37A4" w:rsidRDefault="001C1F52" w:rsidP="001C1F52">
      <w:pPr>
        <w:numPr>
          <w:ilvl w:val="0"/>
          <w:numId w:val="38"/>
        </w:numPr>
        <w:spacing w:after="0" w:line="240" w:lineRule="auto"/>
        <w:rPr>
          <w:rFonts w:eastAsia="Times New Roman"/>
          <w:iCs/>
        </w:rPr>
      </w:pPr>
      <w:r w:rsidRPr="00FD37A4">
        <w:rPr>
          <w:rFonts w:eastAsia="Times New Roman"/>
          <w:b/>
          <w:bCs/>
          <w:iCs/>
        </w:rPr>
        <w:lastRenderedPageBreak/>
        <w:t>Promote openness:</w:t>
      </w:r>
      <w:r w:rsidRPr="00FD37A4">
        <w:rPr>
          <w:rFonts w:eastAsia="Times New Roman"/>
          <w:iCs/>
        </w:rPr>
        <w:t xml:space="preserve"> Normalise anxiety and encourage children and young people to access support when they need it be particularly watchful over those that are withdrawn, quiet or find it difficult to ask for help. </w:t>
      </w:r>
    </w:p>
    <w:p w14:paraId="2B33DFAD" w14:textId="77777777" w:rsidR="001C1F52" w:rsidRPr="00FD37A4" w:rsidRDefault="001C1F52" w:rsidP="001C1F52">
      <w:pPr>
        <w:numPr>
          <w:ilvl w:val="0"/>
          <w:numId w:val="38"/>
        </w:numPr>
        <w:spacing w:after="0" w:line="240" w:lineRule="auto"/>
        <w:rPr>
          <w:rFonts w:eastAsia="Times New Roman"/>
          <w:iCs/>
        </w:rPr>
      </w:pPr>
      <w:r w:rsidRPr="00FD37A4">
        <w:rPr>
          <w:rFonts w:eastAsia="Times New Roman"/>
          <w:b/>
          <w:bCs/>
          <w:iCs/>
        </w:rPr>
        <w:t>Crisis plan:</w:t>
      </w:r>
      <w:r w:rsidRPr="00FD37A4">
        <w:rPr>
          <w:rFonts w:eastAsia="Times New Roman"/>
          <w:iCs/>
        </w:rPr>
        <w:t xml:space="preserve"> Be pro-active in planning for those children and young people that you suspect may find periods of isolation or high stress particularly difficult. At each site the SECURE STAIRS multi-disciplinary team should be in place to identify and support those children who are most vulnerable. A Formulation and support plan will be critical in providing support. </w:t>
      </w:r>
    </w:p>
    <w:p w14:paraId="0018AA39" w14:textId="77777777" w:rsidR="001C1F52" w:rsidRPr="00FD37A4" w:rsidRDefault="001C1F52" w:rsidP="001C1F52">
      <w:pPr>
        <w:numPr>
          <w:ilvl w:val="0"/>
          <w:numId w:val="38"/>
        </w:numPr>
        <w:spacing w:after="0" w:line="240" w:lineRule="auto"/>
        <w:rPr>
          <w:rFonts w:eastAsia="Times New Roman"/>
          <w:iCs/>
        </w:rPr>
      </w:pPr>
      <w:r w:rsidRPr="00FD37A4">
        <w:rPr>
          <w:rFonts w:eastAsia="Times New Roman"/>
          <w:b/>
          <w:bCs/>
          <w:iCs/>
        </w:rPr>
        <w:t>Coordinated YCS and NHSE&amp;I Response:</w:t>
      </w:r>
      <w:r w:rsidRPr="00FD37A4">
        <w:rPr>
          <w:rFonts w:eastAsia="Times New Roman"/>
          <w:iCs/>
        </w:rPr>
        <w:t xml:space="preserve"> The Critical Case Panel has been extended to ensure support and advice is coordinated across the CYPSE via daily, weekly and monthly review processes in addition to the central Enhanced SECURE STAIRS team that has been mobilised across YCS, psychology and health.</w:t>
      </w:r>
    </w:p>
    <w:p w14:paraId="4D46ECED" w14:textId="77777777" w:rsidR="008115A2" w:rsidRDefault="008115A2" w:rsidP="008115A2">
      <w:pPr>
        <w:jc w:val="both"/>
        <w:rPr>
          <w:bCs/>
        </w:rPr>
      </w:pPr>
    </w:p>
    <w:p w14:paraId="34FC1DFC" w14:textId="77777777" w:rsidR="005C7ADF" w:rsidRDefault="005C7ADF" w:rsidP="005C7ADF">
      <w:pPr>
        <w:spacing w:after="0" w:line="240" w:lineRule="auto"/>
        <w:jc w:val="both"/>
        <w:rPr>
          <w:rFonts w:cs="Arial"/>
        </w:rPr>
      </w:pPr>
    </w:p>
    <w:p w14:paraId="47172483" w14:textId="77777777" w:rsidR="0021206D" w:rsidRPr="00480FD8" w:rsidRDefault="000A0320" w:rsidP="000A0320">
      <w:pPr>
        <w:rPr>
          <w:rFonts w:cs="Arial"/>
        </w:rPr>
      </w:pPr>
      <w:r>
        <w:rPr>
          <w:rFonts w:cs="Arial"/>
        </w:rPr>
        <w:br w:type="page"/>
      </w:r>
    </w:p>
    <w:p w14:paraId="5DE098DE" w14:textId="77777777" w:rsidR="00480FD8" w:rsidRDefault="00480FD8" w:rsidP="00780C73">
      <w:pPr>
        <w:jc w:val="both"/>
        <w:rPr>
          <w:b/>
        </w:rPr>
        <w:sectPr w:rsidR="00480FD8" w:rsidSect="000A0320">
          <w:pgSz w:w="11906" w:h="16838"/>
          <w:pgMar w:top="1440" w:right="1440" w:bottom="1135" w:left="1440" w:header="708" w:footer="708" w:gutter="0"/>
          <w:cols w:space="708"/>
          <w:docGrid w:linePitch="360"/>
        </w:sectPr>
      </w:pPr>
    </w:p>
    <w:p w14:paraId="0C557057" w14:textId="77777777" w:rsidR="008D4DD3" w:rsidRPr="008D4DD3" w:rsidRDefault="008D4DD3" w:rsidP="00780C73">
      <w:pPr>
        <w:jc w:val="both"/>
        <w:rPr>
          <w:b/>
        </w:rPr>
      </w:pPr>
      <w:r w:rsidRPr="008D4DD3">
        <w:rPr>
          <w:b/>
        </w:rPr>
        <w:lastRenderedPageBreak/>
        <w:t>Guide to weightings/prioritisation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3958C8" w14:paraId="3CAE740D" w14:textId="77777777" w:rsidTr="008D4DD3">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44C37E77" w14:textId="77777777" w:rsidR="008D4DD3" w:rsidRPr="003958C8" w:rsidRDefault="008D4DD3" w:rsidP="0061493A">
            <w:pPr>
              <w:rPr>
                <w:rFonts w:asciiTheme="minorHAnsi" w:hAnsiTheme="minorHAnsi"/>
                <w:szCs w:val="22"/>
              </w:rPr>
            </w:pPr>
            <w:r>
              <w:rPr>
                <w:rFonts w:asciiTheme="minorHAnsi" w:hAnsiTheme="minorHAnsi"/>
                <w:szCs w:val="22"/>
              </w:rPr>
              <w:t>Value</w:t>
            </w:r>
          </w:p>
        </w:tc>
        <w:tc>
          <w:tcPr>
            <w:tcW w:w="6078" w:type="dxa"/>
            <w:tcBorders>
              <w:bottom w:val="single" w:sz="4" w:space="0" w:color="000000" w:themeColor="text1"/>
            </w:tcBorders>
          </w:tcPr>
          <w:p w14:paraId="1AD7724D" w14:textId="77777777" w:rsidR="008D4DD3" w:rsidRPr="003958C8" w:rsidRDefault="008D4DD3" w:rsidP="0061493A">
            <w:pPr>
              <w:rPr>
                <w:rFonts w:asciiTheme="minorHAnsi" w:hAnsiTheme="minorHAnsi"/>
                <w:szCs w:val="22"/>
              </w:rPr>
            </w:pPr>
            <w:r>
              <w:rPr>
                <w:rFonts w:asciiTheme="minorHAnsi" w:hAnsiTheme="minorHAnsi"/>
                <w:szCs w:val="22"/>
              </w:rPr>
              <w:t>Description</w:t>
            </w:r>
          </w:p>
        </w:tc>
        <w:tc>
          <w:tcPr>
            <w:tcW w:w="246" w:type="dxa"/>
            <w:tcBorders>
              <w:bottom w:val="single" w:sz="4" w:space="0" w:color="000000" w:themeColor="text1"/>
            </w:tcBorders>
          </w:tcPr>
          <w:p w14:paraId="5648A9FF" w14:textId="77777777" w:rsidR="008D4DD3" w:rsidRPr="003958C8" w:rsidRDefault="008D4DD3" w:rsidP="0061493A">
            <w:pPr>
              <w:rPr>
                <w:rFonts w:asciiTheme="minorHAnsi" w:hAnsiTheme="minorHAnsi"/>
                <w:szCs w:val="22"/>
              </w:rPr>
            </w:pPr>
          </w:p>
        </w:tc>
      </w:tr>
      <w:tr w:rsidR="008D4DD3" w:rsidRPr="003958C8" w14:paraId="1E40E322"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BA6FD74" w14:textId="77777777" w:rsidR="008D4DD3" w:rsidRPr="008D4DD3" w:rsidRDefault="008D4DD3" w:rsidP="0061493A">
            <w:pPr>
              <w:rPr>
                <w:rFonts w:asciiTheme="minorHAnsi" w:hAnsiTheme="minorHAnsi"/>
                <w:szCs w:val="22"/>
              </w:rPr>
            </w:pPr>
            <w:r w:rsidRPr="008D4DD3">
              <w:rPr>
                <w:rFonts w:asciiTheme="minorHAnsi" w:hAnsiTheme="minorHAnsi"/>
                <w:szCs w:val="22"/>
              </w:rPr>
              <w:t>3</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5FFBE" w14:textId="77777777" w:rsidR="008D4DD3" w:rsidRPr="008D4DD3" w:rsidRDefault="008D4DD3" w:rsidP="008D4DD3">
            <w:pPr>
              <w:rPr>
                <w:rFonts w:asciiTheme="minorHAnsi" w:hAnsiTheme="minorHAnsi"/>
                <w:szCs w:val="22"/>
              </w:rPr>
            </w:pPr>
            <w:r w:rsidRPr="008D4DD3">
              <w:rPr>
                <w:rFonts w:asciiTheme="minorHAnsi" w:hAnsiTheme="minorHAnsi"/>
                <w:szCs w:val="22"/>
              </w:rPr>
              <w:t>Highest– action required as a precursor to other tasks</w:t>
            </w:r>
          </w:p>
        </w:tc>
      </w:tr>
      <w:tr w:rsidR="008D4DD3" w:rsidRPr="003958C8" w14:paraId="76275E39"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A56514A" w14:textId="77777777" w:rsidR="008D4DD3" w:rsidRPr="008D4DD3" w:rsidRDefault="008D4DD3" w:rsidP="0061493A">
            <w:pPr>
              <w:rPr>
                <w:rFonts w:asciiTheme="minorHAnsi" w:hAnsiTheme="minorHAnsi"/>
              </w:rPr>
            </w:pPr>
            <w:r w:rsidRPr="008D4DD3">
              <w:rPr>
                <w:rFonts w:asciiTheme="minorHAnsi" w:hAnsiTheme="minorHAnsi"/>
              </w:rPr>
              <w:t>2</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957BB" w14:textId="77777777" w:rsidR="008D4DD3" w:rsidRPr="008D4DD3" w:rsidRDefault="008D4DD3" w:rsidP="0061493A">
            <w:pPr>
              <w:rPr>
                <w:rFonts w:asciiTheme="minorHAnsi" w:hAnsiTheme="minorHAnsi"/>
              </w:rPr>
            </w:pPr>
            <w:r w:rsidRPr="008D4DD3">
              <w:rPr>
                <w:rFonts w:asciiTheme="minorHAnsi" w:hAnsiTheme="minorHAnsi"/>
              </w:rPr>
              <w:t>Medium – action required as part of wider work</w:t>
            </w:r>
          </w:p>
        </w:tc>
      </w:tr>
      <w:tr w:rsidR="008D4DD3" w:rsidRPr="003958C8" w14:paraId="0D7ED416"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F56A0E0" w14:textId="77777777" w:rsidR="008D4DD3" w:rsidRPr="008D4DD3" w:rsidRDefault="008D4DD3" w:rsidP="0061493A">
            <w:pPr>
              <w:rPr>
                <w:rFonts w:asciiTheme="minorHAnsi" w:hAnsiTheme="minorHAnsi"/>
              </w:rPr>
            </w:pPr>
            <w:r w:rsidRPr="008D4DD3">
              <w:rPr>
                <w:rFonts w:asciiTheme="minorHAnsi" w:hAnsiTheme="minorHAnsi"/>
              </w:rPr>
              <w:t>1</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68812" w14:textId="77777777" w:rsidR="008D4DD3" w:rsidRPr="008D4DD3" w:rsidRDefault="008D4DD3" w:rsidP="0061493A">
            <w:pPr>
              <w:rPr>
                <w:rFonts w:asciiTheme="minorHAnsi" w:hAnsiTheme="minorHAnsi"/>
              </w:rPr>
            </w:pPr>
            <w:r w:rsidRPr="008D4DD3">
              <w:rPr>
                <w:rFonts w:asciiTheme="minorHAnsi" w:hAnsiTheme="minorHAnsi"/>
              </w:rPr>
              <w:t xml:space="preserve">Lowest – action required </w:t>
            </w:r>
            <w:r>
              <w:rPr>
                <w:rFonts w:asciiTheme="minorHAnsi" w:hAnsiTheme="minorHAnsi"/>
              </w:rPr>
              <w:t>once others have been completed</w:t>
            </w:r>
          </w:p>
        </w:tc>
      </w:tr>
    </w:tbl>
    <w:p w14:paraId="559B16A6" w14:textId="77777777" w:rsidR="008D4DD3" w:rsidRDefault="008D4DD3" w:rsidP="00343E17">
      <w:pPr>
        <w:spacing w:before="240"/>
        <w:jc w:val="both"/>
        <w:rPr>
          <w:b/>
        </w:rPr>
      </w:pPr>
      <w:r w:rsidRPr="008D4DD3">
        <w:rPr>
          <w:b/>
        </w:rPr>
        <w:t>Guide</w:t>
      </w:r>
      <w:r>
        <w:rPr>
          <w:b/>
        </w:rPr>
        <w:t xml:space="preserve"> to autonomy levels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3958C8" w14:paraId="6E1ECA21" w14:textId="77777777" w:rsidTr="0061493A">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39C0C329" w14:textId="77777777" w:rsidR="008D4DD3" w:rsidRPr="003958C8" w:rsidRDefault="008D4DD3" w:rsidP="0061493A">
            <w:pPr>
              <w:rPr>
                <w:rFonts w:asciiTheme="minorHAnsi" w:hAnsiTheme="minorHAnsi"/>
                <w:szCs w:val="22"/>
              </w:rPr>
            </w:pPr>
            <w:r>
              <w:rPr>
                <w:rFonts w:asciiTheme="minorHAnsi" w:hAnsiTheme="minorHAnsi"/>
                <w:szCs w:val="22"/>
              </w:rPr>
              <w:t>Value</w:t>
            </w:r>
          </w:p>
        </w:tc>
        <w:tc>
          <w:tcPr>
            <w:tcW w:w="6078" w:type="dxa"/>
            <w:tcBorders>
              <w:bottom w:val="single" w:sz="4" w:space="0" w:color="000000" w:themeColor="text1"/>
            </w:tcBorders>
          </w:tcPr>
          <w:p w14:paraId="330BC21A" w14:textId="77777777" w:rsidR="008D4DD3" w:rsidRPr="003958C8" w:rsidRDefault="008D4DD3" w:rsidP="0061493A">
            <w:pPr>
              <w:rPr>
                <w:rFonts w:asciiTheme="minorHAnsi" w:hAnsiTheme="minorHAnsi"/>
                <w:szCs w:val="22"/>
              </w:rPr>
            </w:pPr>
            <w:r>
              <w:rPr>
                <w:rFonts w:asciiTheme="minorHAnsi" w:hAnsiTheme="minorHAnsi"/>
                <w:szCs w:val="22"/>
              </w:rPr>
              <w:t>Description</w:t>
            </w:r>
          </w:p>
        </w:tc>
        <w:tc>
          <w:tcPr>
            <w:tcW w:w="246" w:type="dxa"/>
            <w:tcBorders>
              <w:bottom w:val="single" w:sz="4" w:space="0" w:color="000000" w:themeColor="text1"/>
            </w:tcBorders>
          </w:tcPr>
          <w:p w14:paraId="652240DA" w14:textId="77777777" w:rsidR="008D4DD3" w:rsidRPr="003958C8" w:rsidRDefault="008D4DD3" w:rsidP="0061493A">
            <w:pPr>
              <w:rPr>
                <w:rFonts w:asciiTheme="minorHAnsi" w:hAnsiTheme="minorHAnsi"/>
                <w:szCs w:val="22"/>
              </w:rPr>
            </w:pPr>
          </w:p>
        </w:tc>
      </w:tr>
      <w:tr w:rsidR="008D4DD3" w:rsidRPr="008D4DD3" w14:paraId="396C2A4E" w14:textId="77777777" w:rsidTr="0061493A">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E3D3326" w14:textId="77777777" w:rsidR="008D4DD3" w:rsidRPr="008D4DD3" w:rsidRDefault="008D4DD3" w:rsidP="0061493A">
            <w:pPr>
              <w:rPr>
                <w:rFonts w:asciiTheme="minorHAnsi" w:hAnsiTheme="minorHAnsi"/>
                <w:szCs w:val="22"/>
              </w:rPr>
            </w:pPr>
            <w:r>
              <w:rPr>
                <w:rFonts w:asciiTheme="minorHAnsi" w:hAnsiTheme="minorHAnsi"/>
                <w:szCs w:val="22"/>
              </w:rPr>
              <w:t>Total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006A7" w14:textId="77777777" w:rsidR="008D4DD3" w:rsidRPr="008D4DD3" w:rsidRDefault="008D4DD3" w:rsidP="008D4DD3">
            <w:pPr>
              <w:rPr>
                <w:rFonts w:asciiTheme="minorHAnsi" w:hAnsiTheme="minorHAnsi"/>
                <w:szCs w:val="22"/>
              </w:rPr>
            </w:pPr>
            <w:r>
              <w:rPr>
                <w:rFonts w:asciiTheme="minorHAnsi" w:hAnsiTheme="minorHAnsi"/>
                <w:szCs w:val="22"/>
              </w:rPr>
              <w:t>Establishment has total autonomy to determine the design of the product that satisfies the baseline</w:t>
            </w:r>
          </w:p>
        </w:tc>
      </w:tr>
      <w:tr w:rsidR="008D4DD3" w:rsidRPr="008D4DD3" w14:paraId="11EA2326" w14:textId="77777777" w:rsidTr="0061493A">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59FD312" w14:textId="77777777" w:rsidR="008D4DD3" w:rsidRPr="008D4DD3" w:rsidRDefault="008D4DD3" w:rsidP="0061493A">
            <w:pPr>
              <w:rPr>
                <w:rFonts w:asciiTheme="minorHAnsi" w:hAnsiTheme="minorHAnsi"/>
              </w:rPr>
            </w:pPr>
            <w:r>
              <w:rPr>
                <w:rFonts w:asciiTheme="minorHAnsi" w:hAnsiTheme="minorHAnsi"/>
              </w:rPr>
              <w:t>Partial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1201F" w14:textId="77777777" w:rsidR="008D4DD3" w:rsidRPr="008D4DD3" w:rsidRDefault="008D4DD3" w:rsidP="0061493A">
            <w:pPr>
              <w:rPr>
                <w:rFonts w:asciiTheme="minorHAnsi" w:hAnsiTheme="minorHAnsi"/>
              </w:rPr>
            </w:pPr>
            <w:r>
              <w:rPr>
                <w:rFonts w:asciiTheme="minorHAnsi" w:hAnsiTheme="minorHAnsi"/>
              </w:rPr>
              <w:t>Establishment has partial autonomy – the ability to choose from pre-determined delivery options (which are specified)</w:t>
            </w:r>
          </w:p>
        </w:tc>
      </w:tr>
      <w:tr w:rsidR="008D4DD3" w:rsidRPr="008D4DD3" w14:paraId="2493120F" w14:textId="77777777" w:rsidTr="0061493A">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E533322" w14:textId="77777777" w:rsidR="008D4DD3" w:rsidRPr="008D4DD3" w:rsidRDefault="008D4DD3" w:rsidP="0061493A">
            <w:pPr>
              <w:rPr>
                <w:rFonts w:asciiTheme="minorHAnsi" w:hAnsiTheme="minorHAnsi"/>
              </w:rPr>
            </w:pPr>
            <w:r>
              <w:rPr>
                <w:rFonts w:asciiTheme="minorHAnsi" w:hAnsiTheme="minorHAnsi"/>
              </w:rPr>
              <w:t>Limited</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D8062" w14:textId="77777777" w:rsidR="008D4DD3" w:rsidRPr="008D4DD3" w:rsidRDefault="008D4DD3" w:rsidP="0061493A">
            <w:pPr>
              <w:rPr>
                <w:rFonts w:asciiTheme="minorHAnsi" w:hAnsiTheme="minorHAnsi"/>
              </w:rPr>
            </w:pPr>
            <w:r>
              <w:rPr>
                <w:rFonts w:asciiTheme="minorHAnsi" w:hAnsiTheme="minorHAnsi"/>
              </w:rPr>
              <w:t>Establishment has limited autonomy and must deliver the product as stipulated</w:t>
            </w:r>
          </w:p>
        </w:tc>
      </w:tr>
    </w:tbl>
    <w:p w14:paraId="392896DA" w14:textId="77777777" w:rsidR="00651F30" w:rsidRDefault="00651F30" w:rsidP="006928BB">
      <w:pPr>
        <w:spacing w:after="0" w:line="240" w:lineRule="auto"/>
        <w:jc w:val="both"/>
        <w:rPr>
          <w:b/>
          <w:sz w:val="28"/>
          <w:szCs w:val="28"/>
        </w:rPr>
        <w:sectPr w:rsidR="00651F30" w:rsidSect="00480FD8">
          <w:pgSz w:w="16838" w:h="11906" w:orient="landscape"/>
          <w:pgMar w:top="1440" w:right="1440" w:bottom="1440" w:left="1440" w:header="708" w:footer="708" w:gutter="0"/>
          <w:cols w:space="708"/>
          <w:docGrid w:linePitch="360"/>
        </w:sectPr>
      </w:pPr>
    </w:p>
    <w:p w14:paraId="652FF505" w14:textId="77777777" w:rsidR="0075300D" w:rsidRDefault="0075300D" w:rsidP="006928BB">
      <w:pPr>
        <w:spacing w:after="0" w:line="240" w:lineRule="auto"/>
        <w:jc w:val="both"/>
        <w:rPr>
          <w:b/>
          <w:sz w:val="28"/>
          <w:szCs w:val="28"/>
        </w:rPr>
      </w:pPr>
      <w:r w:rsidRPr="00BC5317">
        <w:rPr>
          <w:b/>
          <w:sz w:val="28"/>
          <w:szCs w:val="28"/>
        </w:rPr>
        <w:lastRenderedPageBreak/>
        <w:t>Exceptio</w:t>
      </w:r>
      <w:r w:rsidR="0096011E">
        <w:rPr>
          <w:b/>
          <w:sz w:val="28"/>
          <w:szCs w:val="28"/>
        </w:rPr>
        <w:t xml:space="preserve">nal Delivery Regime model: </w:t>
      </w:r>
      <w:r w:rsidR="001C1F52">
        <w:rPr>
          <w:b/>
          <w:sz w:val="28"/>
          <w:szCs w:val="28"/>
        </w:rPr>
        <w:t xml:space="preserve">Resettlement </w:t>
      </w:r>
    </w:p>
    <w:p w14:paraId="7BD7BA1F" w14:textId="77777777" w:rsidR="001C1F52" w:rsidRDefault="001C1F52" w:rsidP="006928BB">
      <w:pPr>
        <w:spacing w:after="0" w:line="240" w:lineRule="auto"/>
        <w:jc w:val="both"/>
        <w:rPr>
          <w:b/>
          <w:sz w:val="28"/>
          <w:szCs w:val="28"/>
        </w:rPr>
      </w:pPr>
    </w:p>
    <w:p w14:paraId="1E0C3A63" w14:textId="77777777" w:rsidR="001C1F52" w:rsidRDefault="001C1F52" w:rsidP="006928BB">
      <w:pPr>
        <w:spacing w:after="0" w:line="240" w:lineRule="auto"/>
        <w:jc w:val="both"/>
        <w:rPr>
          <w:b/>
          <w:sz w:val="28"/>
          <w:szCs w:val="28"/>
        </w:rPr>
      </w:pPr>
      <w:r>
        <w:rPr>
          <w:b/>
          <w:sz w:val="28"/>
          <w:szCs w:val="28"/>
        </w:rPr>
        <w:t xml:space="preserve">This EDM is for </w:t>
      </w:r>
      <w:r w:rsidR="00FD37A4">
        <w:rPr>
          <w:b/>
          <w:sz w:val="28"/>
          <w:szCs w:val="28"/>
        </w:rPr>
        <w:t xml:space="preserve">national framework </w:t>
      </w:r>
      <w:r>
        <w:rPr>
          <w:b/>
          <w:sz w:val="28"/>
          <w:szCs w:val="28"/>
        </w:rPr>
        <w:t>level 3</w:t>
      </w:r>
      <w:r w:rsidR="00FD37A4">
        <w:rPr>
          <w:b/>
          <w:sz w:val="28"/>
          <w:szCs w:val="28"/>
        </w:rPr>
        <w:t>.</w:t>
      </w:r>
    </w:p>
    <w:p w14:paraId="5628BD02" w14:textId="77777777" w:rsidR="0075300D" w:rsidRPr="008D4DD3" w:rsidRDefault="0075300D" w:rsidP="008D4DD3">
      <w:pPr>
        <w:spacing w:after="0" w:line="240" w:lineRule="auto"/>
        <w:jc w:val="both"/>
        <w:rPr>
          <w:b/>
        </w:rPr>
      </w:pPr>
    </w:p>
    <w:tbl>
      <w:tblPr>
        <w:tblStyle w:val="TableGrid"/>
        <w:tblW w:w="0" w:type="auto"/>
        <w:tblInd w:w="-289" w:type="dxa"/>
        <w:shd w:val="clear" w:color="auto" w:fill="7F4098"/>
        <w:tblLook w:val="04A0" w:firstRow="1" w:lastRow="0" w:firstColumn="1" w:lastColumn="0" w:noHBand="0" w:noVBand="1"/>
      </w:tblPr>
      <w:tblGrid>
        <w:gridCol w:w="1525"/>
        <w:gridCol w:w="3999"/>
        <w:gridCol w:w="1156"/>
        <w:gridCol w:w="1509"/>
        <w:gridCol w:w="6048"/>
      </w:tblGrid>
      <w:tr w:rsidR="00BC5317" w14:paraId="26CC41BF" w14:textId="77777777" w:rsidTr="00CA7215">
        <w:trPr>
          <w:trHeight w:val="819"/>
        </w:trPr>
        <w:tc>
          <w:tcPr>
            <w:tcW w:w="1560" w:type="dxa"/>
            <w:tcBorders>
              <w:bottom w:val="single" w:sz="4" w:space="0" w:color="auto"/>
            </w:tcBorders>
            <w:shd w:val="clear" w:color="auto" w:fill="7F4098"/>
          </w:tcPr>
          <w:p w14:paraId="73E7D5C8" w14:textId="77777777" w:rsidR="00C772E4" w:rsidRPr="00BC5317" w:rsidRDefault="00C772E4" w:rsidP="0030699B">
            <w:pPr>
              <w:jc w:val="both"/>
              <w:rPr>
                <w:b/>
                <w:color w:val="FFFFFF" w:themeColor="background1"/>
              </w:rPr>
            </w:pPr>
            <w:r w:rsidRPr="00BC5317">
              <w:rPr>
                <w:b/>
                <w:color w:val="FFFFFF" w:themeColor="background1"/>
              </w:rPr>
              <w:t>Area/Process</w:t>
            </w:r>
          </w:p>
        </w:tc>
        <w:tc>
          <w:tcPr>
            <w:tcW w:w="5387" w:type="dxa"/>
            <w:tcBorders>
              <w:bottom w:val="single" w:sz="4" w:space="0" w:color="auto"/>
            </w:tcBorders>
            <w:shd w:val="clear" w:color="auto" w:fill="7F4098"/>
          </w:tcPr>
          <w:p w14:paraId="2001549E" w14:textId="77777777" w:rsidR="00C772E4" w:rsidRPr="00BC5317" w:rsidRDefault="00C772E4" w:rsidP="0030699B">
            <w:pPr>
              <w:jc w:val="both"/>
              <w:rPr>
                <w:b/>
                <w:color w:val="FFFFFF" w:themeColor="background1"/>
              </w:rPr>
            </w:pPr>
            <w:r w:rsidRPr="00BC5317">
              <w:rPr>
                <w:b/>
                <w:color w:val="FFFFFF" w:themeColor="background1"/>
              </w:rPr>
              <w:t>Baseline</w:t>
            </w:r>
          </w:p>
        </w:tc>
        <w:tc>
          <w:tcPr>
            <w:tcW w:w="1156" w:type="dxa"/>
            <w:tcBorders>
              <w:bottom w:val="single" w:sz="4" w:space="0" w:color="auto"/>
            </w:tcBorders>
            <w:shd w:val="clear" w:color="auto" w:fill="7F4098"/>
          </w:tcPr>
          <w:p w14:paraId="6E17E7B8" w14:textId="77777777" w:rsidR="00C772E4" w:rsidRPr="00BC5317" w:rsidRDefault="00C772E4" w:rsidP="0030699B">
            <w:pPr>
              <w:jc w:val="both"/>
              <w:rPr>
                <w:b/>
                <w:color w:val="FFFFFF" w:themeColor="background1"/>
              </w:rPr>
            </w:pPr>
            <w:r w:rsidRPr="00BC5317">
              <w:rPr>
                <w:b/>
                <w:color w:val="FFFFFF" w:themeColor="background1"/>
              </w:rPr>
              <w:t>Weighting (1,2,3)</w:t>
            </w:r>
          </w:p>
        </w:tc>
        <w:tc>
          <w:tcPr>
            <w:tcW w:w="1820" w:type="dxa"/>
            <w:tcBorders>
              <w:bottom w:val="single" w:sz="4" w:space="0" w:color="auto"/>
            </w:tcBorders>
            <w:shd w:val="clear" w:color="auto" w:fill="7F4098"/>
          </w:tcPr>
          <w:p w14:paraId="26217222" w14:textId="77777777" w:rsidR="00C772E4" w:rsidRPr="00BC5317" w:rsidRDefault="00C772E4" w:rsidP="00CF79F3">
            <w:pPr>
              <w:rPr>
                <w:b/>
                <w:color w:val="FFFFFF" w:themeColor="background1"/>
              </w:rPr>
            </w:pPr>
            <w:r w:rsidRPr="00BC5317">
              <w:rPr>
                <w:b/>
                <w:color w:val="FFFFFF" w:themeColor="background1"/>
              </w:rPr>
              <w:t>Autonomy Level</w:t>
            </w:r>
          </w:p>
          <w:p w14:paraId="6C245897" w14:textId="77777777" w:rsidR="00C772E4" w:rsidRPr="00BC5317" w:rsidRDefault="00C772E4" w:rsidP="00CF79F3">
            <w:pPr>
              <w:rPr>
                <w:b/>
                <w:color w:val="FFFFFF" w:themeColor="background1"/>
              </w:rPr>
            </w:pPr>
            <w:r w:rsidRPr="00BC5317">
              <w:rPr>
                <w:b/>
                <w:color w:val="FFFFFF" w:themeColor="background1"/>
              </w:rPr>
              <w:t>(total, partial, limited)</w:t>
            </w:r>
          </w:p>
        </w:tc>
        <w:tc>
          <w:tcPr>
            <w:tcW w:w="4314" w:type="dxa"/>
            <w:tcBorders>
              <w:bottom w:val="single" w:sz="4" w:space="0" w:color="auto"/>
            </w:tcBorders>
            <w:shd w:val="clear" w:color="auto" w:fill="7F4098"/>
          </w:tcPr>
          <w:p w14:paraId="49679BAE" w14:textId="77777777" w:rsidR="006B63A7" w:rsidRPr="00BC5317" w:rsidRDefault="00C772E4" w:rsidP="0030699B">
            <w:pPr>
              <w:jc w:val="both"/>
              <w:rPr>
                <w:b/>
                <w:color w:val="FFFFFF" w:themeColor="background1"/>
              </w:rPr>
            </w:pPr>
            <w:r w:rsidRPr="00BC5317">
              <w:rPr>
                <w:b/>
                <w:color w:val="FFFFFF" w:themeColor="background1"/>
              </w:rPr>
              <w:t>Comments</w:t>
            </w:r>
            <w:r w:rsidR="00CF79F3">
              <w:rPr>
                <w:b/>
                <w:color w:val="FFFFFF" w:themeColor="background1"/>
              </w:rPr>
              <w:t>/Sources of information</w:t>
            </w:r>
          </w:p>
        </w:tc>
      </w:tr>
      <w:tr w:rsidR="00BC5317" w14:paraId="3C735F44" w14:textId="77777777" w:rsidTr="00CA7215">
        <w:tc>
          <w:tcPr>
            <w:tcW w:w="14237" w:type="dxa"/>
            <w:gridSpan w:val="5"/>
            <w:tcBorders>
              <w:bottom w:val="single" w:sz="4" w:space="0" w:color="auto"/>
            </w:tcBorders>
            <w:shd w:val="clear" w:color="auto" w:fill="BFBFBF" w:themeFill="background1" w:themeFillShade="BF"/>
          </w:tcPr>
          <w:p w14:paraId="05030692" w14:textId="77777777" w:rsidR="00BC5317" w:rsidRDefault="00BC5317" w:rsidP="0030699B">
            <w:pPr>
              <w:jc w:val="both"/>
              <w:rPr>
                <w:b/>
              </w:rPr>
            </w:pPr>
            <w:r>
              <w:rPr>
                <w:b/>
              </w:rPr>
              <w:t>Mandatory actions</w:t>
            </w:r>
          </w:p>
          <w:p w14:paraId="601FBBC5" w14:textId="77777777" w:rsidR="00BC5317" w:rsidRDefault="00BC5317" w:rsidP="0030699B">
            <w:pPr>
              <w:jc w:val="both"/>
              <w:rPr>
                <w:b/>
              </w:rPr>
            </w:pPr>
          </w:p>
        </w:tc>
      </w:tr>
      <w:tr w:rsidR="00A30F0B" w14:paraId="6ECB363B" w14:textId="77777777" w:rsidTr="00CA7215">
        <w:tc>
          <w:tcPr>
            <w:tcW w:w="1560" w:type="dxa"/>
            <w:vMerge w:val="restart"/>
            <w:shd w:val="clear" w:color="auto" w:fill="DBC1E5"/>
          </w:tcPr>
          <w:p w14:paraId="311A805B" w14:textId="77777777" w:rsidR="00A30F0B" w:rsidRDefault="00A30F0B" w:rsidP="006411C8">
            <w:pPr>
              <w:jc w:val="center"/>
              <w:rPr>
                <w:b/>
              </w:rPr>
            </w:pPr>
            <w:r>
              <w:rPr>
                <w:b/>
              </w:rPr>
              <w:t>1. Start of sentence</w:t>
            </w:r>
          </w:p>
        </w:tc>
        <w:tc>
          <w:tcPr>
            <w:tcW w:w="5387" w:type="dxa"/>
            <w:shd w:val="clear" w:color="auto" w:fill="DBC1E5"/>
          </w:tcPr>
          <w:p w14:paraId="60BAF5ED" w14:textId="77777777" w:rsidR="00A30F0B" w:rsidRDefault="00A30F0B" w:rsidP="00713386">
            <w:pPr>
              <w:rPr>
                <w:rFonts w:ascii="Calibri" w:hAnsi="Calibri" w:cs="Calibri"/>
              </w:rPr>
            </w:pPr>
            <w:r w:rsidRPr="0075300D">
              <w:rPr>
                <w:b/>
              </w:rPr>
              <w:t>1.1</w:t>
            </w:r>
            <w:r w:rsidRPr="00BC5317">
              <w:t xml:space="preserve"> </w:t>
            </w:r>
            <w:r>
              <w:rPr>
                <w:rFonts w:ascii="Calibri" w:hAnsi="Calibri" w:cs="Calibri"/>
              </w:rPr>
              <w:t>S</w:t>
            </w:r>
            <w:r w:rsidRPr="00715C9F">
              <w:rPr>
                <w:rFonts w:ascii="Calibri" w:hAnsi="Calibri" w:cs="Calibri"/>
              </w:rPr>
              <w:t xml:space="preserve">creening </w:t>
            </w:r>
            <w:proofErr w:type="gramStart"/>
            <w:r w:rsidRPr="00715C9F">
              <w:rPr>
                <w:rFonts w:ascii="Calibri" w:hAnsi="Calibri" w:cs="Calibri"/>
              </w:rPr>
              <w:t xml:space="preserve">for </w:t>
            </w:r>
            <w:r w:rsidR="006411C8">
              <w:rPr>
                <w:rFonts w:ascii="Calibri" w:hAnsi="Calibri" w:cs="Calibri"/>
              </w:rPr>
              <w:t xml:space="preserve"> </w:t>
            </w:r>
            <w:r w:rsidR="00BB7AE6">
              <w:rPr>
                <w:rFonts w:ascii="Calibri" w:hAnsi="Calibri" w:cs="Calibri"/>
              </w:rPr>
              <w:t>Restricted</w:t>
            </w:r>
            <w:proofErr w:type="gramEnd"/>
            <w:r w:rsidR="006411C8">
              <w:rPr>
                <w:rFonts w:ascii="Calibri" w:hAnsi="Calibri" w:cs="Calibri"/>
              </w:rPr>
              <w:t xml:space="preserve"> Status </w:t>
            </w:r>
            <w:r w:rsidRPr="00715C9F">
              <w:rPr>
                <w:rFonts w:ascii="Calibri" w:hAnsi="Calibri" w:cs="Calibri"/>
              </w:rPr>
              <w:t xml:space="preserve"> </w:t>
            </w:r>
            <w:r w:rsidR="0038424D">
              <w:rPr>
                <w:rFonts w:ascii="Calibri" w:hAnsi="Calibri" w:cs="Calibri"/>
              </w:rPr>
              <w:t>to follow normal Security process</w:t>
            </w:r>
          </w:p>
          <w:p w14:paraId="7F798140" w14:textId="77777777" w:rsidR="00A30F0B" w:rsidRDefault="00A30F0B" w:rsidP="00713386">
            <w:pPr>
              <w:rPr>
                <w:rFonts w:ascii="Calibri" w:hAnsi="Calibri" w:cs="Calibri"/>
              </w:rPr>
            </w:pPr>
          </w:p>
          <w:p w14:paraId="736073A0" w14:textId="77777777" w:rsidR="00A30F0B" w:rsidRPr="00BC5317" w:rsidRDefault="00A30F0B" w:rsidP="0038424D"/>
        </w:tc>
        <w:tc>
          <w:tcPr>
            <w:tcW w:w="1156" w:type="dxa"/>
            <w:shd w:val="clear" w:color="auto" w:fill="DBC1E5"/>
          </w:tcPr>
          <w:p w14:paraId="5640B93C" w14:textId="77777777" w:rsidR="00A30F0B" w:rsidRPr="00C466E1" w:rsidRDefault="00971D81" w:rsidP="00C466E1">
            <w:pPr>
              <w:jc w:val="center"/>
              <w:rPr>
                <w:b/>
              </w:rPr>
            </w:pPr>
            <w:r w:rsidRPr="00C466E1">
              <w:rPr>
                <w:b/>
              </w:rPr>
              <w:t>3</w:t>
            </w:r>
          </w:p>
        </w:tc>
        <w:tc>
          <w:tcPr>
            <w:tcW w:w="1820" w:type="dxa"/>
            <w:shd w:val="clear" w:color="auto" w:fill="DBC1E5"/>
          </w:tcPr>
          <w:p w14:paraId="0C0F133C" w14:textId="77777777" w:rsidR="00A30F0B" w:rsidRPr="005D0DB5" w:rsidRDefault="005D0DB5" w:rsidP="00CF79F3">
            <w:pPr>
              <w:jc w:val="center"/>
              <w:rPr>
                <w:b/>
              </w:rPr>
            </w:pPr>
            <w:r w:rsidRPr="005D0DB5">
              <w:rPr>
                <w:b/>
              </w:rPr>
              <w:t>Limited</w:t>
            </w:r>
          </w:p>
        </w:tc>
        <w:tc>
          <w:tcPr>
            <w:tcW w:w="4314" w:type="dxa"/>
            <w:shd w:val="clear" w:color="auto" w:fill="DBC1E5"/>
          </w:tcPr>
          <w:p w14:paraId="39618F82" w14:textId="77777777" w:rsidR="00A30F0B" w:rsidRPr="00CF79F3" w:rsidRDefault="00A30F0B" w:rsidP="002E690F">
            <w:pPr>
              <w:jc w:val="both"/>
            </w:pPr>
          </w:p>
        </w:tc>
      </w:tr>
      <w:tr w:rsidR="00A30F0B" w14:paraId="01570091" w14:textId="77777777" w:rsidTr="00CA7215">
        <w:tc>
          <w:tcPr>
            <w:tcW w:w="1560" w:type="dxa"/>
            <w:vMerge/>
            <w:shd w:val="clear" w:color="auto" w:fill="DBC1E5"/>
          </w:tcPr>
          <w:p w14:paraId="04EC64A2" w14:textId="77777777" w:rsidR="00A30F0B" w:rsidRDefault="00A30F0B" w:rsidP="00D23BC9">
            <w:pPr>
              <w:jc w:val="both"/>
              <w:rPr>
                <w:b/>
              </w:rPr>
            </w:pPr>
          </w:p>
        </w:tc>
        <w:tc>
          <w:tcPr>
            <w:tcW w:w="5387" w:type="dxa"/>
            <w:shd w:val="clear" w:color="auto" w:fill="DBC1E5"/>
          </w:tcPr>
          <w:p w14:paraId="7BDD3D3E" w14:textId="77777777" w:rsidR="00A30F0B" w:rsidRPr="0075300D" w:rsidRDefault="00A30F0B" w:rsidP="0038424D">
            <w:r w:rsidRPr="009870C8">
              <w:rPr>
                <w:rFonts w:ascii="Calibri" w:hAnsi="Calibri" w:cs="Calibri"/>
                <w:b/>
              </w:rPr>
              <w:t>1.2</w:t>
            </w:r>
            <w:r>
              <w:rPr>
                <w:rFonts w:ascii="Calibri" w:hAnsi="Calibri" w:cs="Calibri"/>
              </w:rPr>
              <w:t xml:space="preserve"> </w:t>
            </w:r>
            <w:r w:rsidRPr="00715C9F">
              <w:rPr>
                <w:rFonts w:ascii="Calibri" w:hAnsi="Calibri" w:cs="Calibri"/>
              </w:rPr>
              <w:t xml:space="preserve">Allocation </w:t>
            </w:r>
            <w:r>
              <w:rPr>
                <w:rFonts w:ascii="Calibri" w:hAnsi="Calibri" w:cs="Calibri"/>
              </w:rPr>
              <w:t xml:space="preserve">of all new cases to a named </w:t>
            </w:r>
            <w:r w:rsidR="0038424D">
              <w:rPr>
                <w:rFonts w:ascii="Calibri" w:hAnsi="Calibri" w:cs="Calibri"/>
              </w:rPr>
              <w:t>Resettlement Practitioner / Caseworker within 24 hours by the casework manager or nominee.</w:t>
            </w:r>
          </w:p>
        </w:tc>
        <w:tc>
          <w:tcPr>
            <w:tcW w:w="1156" w:type="dxa"/>
            <w:shd w:val="clear" w:color="auto" w:fill="DBC1E5"/>
          </w:tcPr>
          <w:p w14:paraId="71835BAC" w14:textId="77777777" w:rsidR="00A30F0B" w:rsidRPr="00C466E1" w:rsidRDefault="0011417F" w:rsidP="00C466E1">
            <w:pPr>
              <w:jc w:val="center"/>
              <w:rPr>
                <w:b/>
              </w:rPr>
            </w:pPr>
            <w:r w:rsidRPr="00C466E1">
              <w:rPr>
                <w:b/>
              </w:rPr>
              <w:t>3</w:t>
            </w:r>
          </w:p>
        </w:tc>
        <w:tc>
          <w:tcPr>
            <w:tcW w:w="1820" w:type="dxa"/>
            <w:shd w:val="clear" w:color="auto" w:fill="DBC1E5"/>
          </w:tcPr>
          <w:p w14:paraId="5760C1E8" w14:textId="77777777" w:rsidR="00A30F0B" w:rsidRDefault="005D0DB5" w:rsidP="00D23BC9">
            <w:pPr>
              <w:jc w:val="center"/>
              <w:rPr>
                <w:b/>
              </w:rPr>
            </w:pPr>
            <w:r>
              <w:rPr>
                <w:b/>
              </w:rPr>
              <w:t>Limited</w:t>
            </w:r>
          </w:p>
        </w:tc>
        <w:tc>
          <w:tcPr>
            <w:tcW w:w="4314" w:type="dxa"/>
            <w:shd w:val="clear" w:color="auto" w:fill="DBC1E5"/>
          </w:tcPr>
          <w:p w14:paraId="35FBB4D4" w14:textId="77777777" w:rsidR="007635E8" w:rsidRPr="00713271" w:rsidRDefault="0038424D" w:rsidP="00D23BC9">
            <w:r w:rsidRPr="00713271">
              <w:t>Casework guidance 2016</w:t>
            </w:r>
          </w:p>
          <w:p w14:paraId="1454F0CD" w14:textId="77777777" w:rsidR="006B0D53" w:rsidRPr="00713271" w:rsidRDefault="006B0D53" w:rsidP="006B0D53">
            <w:pPr>
              <w:jc w:val="both"/>
            </w:pPr>
            <w:r w:rsidRPr="00713271">
              <w:t xml:space="preserve">48 due to weekends </w:t>
            </w:r>
          </w:p>
          <w:p w14:paraId="19A69C67" w14:textId="77777777" w:rsidR="007635E8" w:rsidRPr="00713271" w:rsidRDefault="00777258" w:rsidP="002E690F">
            <w:pPr>
              <w:jc w:val="both"/>
            </w:pPr>
            <w:r w:rsidRPr="00713271">
              <w:t xml:space="preserve">These timescales may need extending if there is an outbreak on site and there is a requirement to move out of level 3 back to level 4 or 5.  </w:t>
            </w:r>
          </w:p>
          <w:p w14:paraId="27CACA2D" w14:textId="77777777" w:rsidR="00A4552F" w:rsidRPr="00713271" w:rsidRDefault="00A4552F" w:rsidP="002E690F">
            <w:pPr>
              <w:jc w:val="both"/>
            </w:pPr>
            <w:r w:rsidRPr="00713271">
              <w:t xml:space="preserve">Resettlement </w:t>
            </w:r>
            <w:proofErr w:type="spellStart"/>
            <w:r w:rsidRPr="00713271">
              <w:t>practioners</w:t>
            </w:r>
            <w:proofErr w:type="spellEnd"/>
            <w:r w:rsidRPr="00713271">
              <w:t>/caseworkers are both band 4 op and non op staff in YCS</w:t>
            </w:r>
          </w:p>
          <w:p w14:paraId="29BAE103" w14:textId="77777777" w:rsidR="00E642DC" w:rsidRPr="00713271" w:rsidRDefault="00070B74" w:rsidP="002E690F">
            <w:pPr>
              <w:jc w:val="both"/>
            </w:pPr>
            <w:r w:rsidRPr="00713271">
              <w:rPr>
                <w:rFonts w:ascii="Calibri" w:hAnsi="Calibri" w:cs="Calibri"/>
              </w:rPr>
              <w:t xml:space="preserve">These must be managed within expectations of reverse </w:t>
            </w:r>
            <w:proofErr w:type="spellStart"/>
            <w:r w:rsidRPr="00713271">
              <w:rPr>
                <w:rFonts w:ascii="Calibri" w:hAnsi="Calibri" w:cs="Calibri"/>
              </w:rPr>
              <w:t>cohorting</w:t>
            </w:r>
            <w:proofErr w:type="spellEnd"/>
            <w:r w:rsidRPr="00713271">
              <w:rPr>
                <w:rFonts w:ascii="Calibri" w:hAnsi="Calibri" w:cs="Calibri"/>
              </w:rPr>
              <w:t xml:space="preserve"> rules </w:t>
            </w:r>
          </w:p>
        </w:tc>
      </w:tr>
      <w:tr w:rsidR="004A4BAA" w14:paraId="104CC1DE" w14:textId="77777777" w:rsidTr="005E3DB1">
        <w:tc>
          <w:tcPr>
            <w:tcW w:w="1560" w:type="dxa"/>
            <w:vMerge w:val="restart"/>
            <w:shd w:val="clear" w:color="auto" w:fill="BA89CD"/>
          </w:tcPr>
          <w:p w14:paraId="01BD714D" w14:textId="77777777" w:rsidR="004A4BAA" w:rsidRDefault="004A4BAA" w:rsidP="00D23BC9">
            <w:pPr>
              <w:jc w:val="both"/>
              <w:rPr>
                <w:b/>
              </w:rPr>
            </w:pPr>
            <w:r>
              <w:rPr>
                <w:b/>
              </w:rPr>
              <w:t>2. Throughout the sentence</w:t>
            </w:r>
          </w:p>
        </w:tc>
        <w:tc>
          <w:tcPr>
            <w:tcW w:w="5387" w:type="dxa"/>
            <w:tcBorders>
              <w:bottom w:val="single" w:sz="4" w:space="0" w:color="auto"/>
            </w:tcBorders>
            <w:shd w:val="clear" w:color="auto" w:fill="BA89CD"/>
          </w:tcPr>
          <w:p w14:paraId="5BB05A68" w14:textId="77777777" w:rsidR="004A4BAA" w:rsidRPr="00BC5317" w:rsidRDefault="004A4BAA" w:rsidP="00D23BC9">
            <w:r w:rsidRPr="005E3DB1">
              <w:rPr>
                <w:rFonts w:ascii="Calibri" w:hAnsi="Calibri" w:cs="Calibri"/>
                <w:b/>
              </w:rPr>
              <w:t>2.1</w:t>
            </w:r>
            <w:r>
              <w:rPr>
                <w:rFonts w:ascii="Calibri" w:hAnsi="Calibri" w:cs="Calibri"/>
              </w:rPr>
              <w:t xml:space="preserve"> </w:t>
            </w:r>
            <w:r w:rsidRPr="00715C9F">
              <w:rPr>
                <w:rFonts w:ascii="Calibri" w:hAnsi="Calibri" w:cs="Calibri"/>
              </w:rPr>
              <w:t xml:space="preserve">Public Protection </w:t>
            </w:r>
            <w:r>
              <w:rPr>
                <w:rFonts w:ascii="Calibri" w:hAnsi="Calibri" w:cs="Calibri"/>
              </w:rPr>
              <w:t>r</w:t>
            </w:r>
            <w:r w:rsidRPr="00715C9F">
              <w:rPr>
                <w:rFonts w:ascii="Calibri" w:hAnsi="Calibri" w:cs="Calibri"/>
              </w:rPr>
              <w:t xml:space="preserve">equests and </w:t>
            </w:r>
            <w:r>
              <w:rPr>
                <w:rFonts w:ascii="Calibri" w:hAnsi="Calibri" w:cs="Calibri"/>
              </w:rPr>
              <w:t xml:space="preserve">actions progressed including child and adult safeguarding </w:t>
            </w:r>
          </w:p>
        </w:tc>
        <w:tc>
          <w:tcPr>
            <w:tcW w:w="1156" w:type="dxa"/>
            <w:tcBorders>
              <w:bottom w:val="single" w:sz="4" w:space="0" w:color="auto"/>
            </w:tcBorders>
            <w:shd w:val="clear" w:color="auto" w:fill="BA89CD"/>
          </w:tcPr>
          <w:p w14:paraId="17893F68" w14:textId="77777777" w:rsidR="004A4BAA" w:rsidRPr="00C466E1" w:rsidRDefault="004A4BAA" w:rsidP="00C466E1">
            <w:pPr>
              <w:jc w:val="center"/>
              <w:rPr>
                <w:b/>
              </w:rPr>
            </w:pPr>
            <w:r w:rsidRPr="00C466E1">
              <w:rPr>
                <w:b/>
              </w:rPr>
              <w:t>3</w:t>
            </w:r>
          </w:p>
        </w:tc>
        <w:tc>
          <w:tcPr>
            <w:tcW w:w="1820" w:type="dxa"/>
            <w:tcBorders>
              <w:bottom w:val="single" w:sz="4" w:space="0" w:color="auto"/>
            </w:tcBorders>
            <w:shd w:val="clear" w:color="auto" w:fill="BA89CD"/>
          </w:tcPr>
          <w:p w14:paraId="07522811" w14:textId="77777777" w:rsidR="004A4BAA" w:rsidRDefault="004A4BAA" w:rsidP="00D23BC9">
            <w:pPr>
              <w:jc w:val="center"/>
              <w:rPr>
                <w:b/>
              </w:rPr>
            </w:pPr>
            <w:r>
              <w:rPr>
                <w:b/>
              </w:rPr>
              <w:t>Limited</w:t>
            </w:r>
          </w:p>
        </w:tc>
        <w:tc>
          <w:tcPr>
            <w:tcW w:w="4314" w:type="dxa"/>
            <w:tcBorders>
              <w:bottom w:val="single" w:sz="4" w:space="0" w:color="auto"/>
            </w:tcBorders>
            <w:shd w:val="clear" w:color="auto" w:fill="BA89CD"/>
          </w:tcPr>
          <w:p w14:paraId="75D7B8E3" w14:textId="77777777" w:rsidR="004F7F86" w:rsidRPr="00713271" w:rsidRDefault="00804869" w:rsidP="00D23BC9">
            <w:r w:rsidRPr="00713271">
              <w:t>Public Protection Manu</w:t>
            </w:r>
            <w:r w:rsidR="00C72F35" w:rsidRPr="00713271">
              <w:t>a</w:t>
            </w:r>
            <w:r w:rsidRPr="00713271">
              <w:t>l 2018 and if available Local Policy</w:t>
            </w:r>
          </w:p>
          <w:p w14:paraId="6FDCDCD0" w14:textId="77777777" w:rsidR="00F550F7" w:rsidRPr="00713271" w:rsidRDefault="00177B61" w:rsidP="004F7F86">
            <w:pPr>
              <w:jc w:val="both"/>
              <w:rPr>
                <w:b/>
                <w:u w:val="single"/>
              </w:rPr>
            </w:pPr>
            <w:hyperlink r:id="rId23" w:history="1">
              <w:r w:rsidR="00F550F7" w:rsidRPr="00713271">
                <w:rPr>
                  <w:rStyle w:val="Hyperlink"/>
                  <w:b/>
                  <w:color w:val="auto"/>
                </w:rPr>
                <w:t>Public Protection</w:t>
              </w:r>
            </w:hyperlink>
          </w:p>
          <w:p w14:paraId="07101D9D" w14:textId="77777777" w:rsidR="00F550F7" w:rsidRPr="00713271" w:rsidRDefault="00F550F7" w:rsidP="00D23BC9"/>
        </w:tc>
      </w:tr>
      <w:tr w:rsidR="004A4BAA" w14:paraId="793DC529" w14:textId="77777777" w:rsidTr="00DD1E12">
        <w:trPr>
          <w:trHeight w:val="459"/>
        </w:trPr>
        <w:tc>
          <w:tcPr>
            <w:tcW w:w="1560" w:type="dxa"/>
            <w:vMerge/>
            <w:shd w:val="clear" w:color="auto" w:fill="BA89CD"/>
          </w:tcPr>
          <w:p w14:paraId="6BB60D1B" w14:textId="77777777" w:rsidR="004A4BAA" w:rsidRDefault="004A4BAA" w:rsidP="00D23BC9">
            <w:pPr>
              <w:jc w:val="both"/>
              <w:rPr>
                <w:b/>
              </w:rPr>
            </w:pPr>
          </w:p>
        </w:tc>
        <w:tc>
          <w:tcPr>
            <w:tcW w:w="5387" w:type="dxa"/>
            <w:tcBorders>
              <w:bottom w:val="single" w:sz="4" w:space="0" w:color="auto"/>
            </w:tcBorders>
            <w:shd w:val="clear" w:color="auto" w:fill="BA89CD"/>
          </w:tcPr>
          <w:p w14:paraId="4221AC23" w14:textId="77777777" w:rsidR="004A4BAA" w:rsidRPr="0075300D" w:rsidRDefault="004A4BAA" w:rsidP="00D23BC9">
            <w:r>
              <w:rPr>
                <w:b/>
              </w:rPr>
              <w:t>2.</w:t>
            </w:r>
            <w:r w:rsidR="002E690F">
              <w:rPr>
                <w:b/>
              </w:rPr>
              <w:t>2</w:t>
            </w:r>
            <w:r>
              <w:rPr>
                <w:b/>
              </w:rPr>
              <w:t xml:space="preserve"> </w:t>
            </w:r>
            <w:r>
              <w:rPr>
                <w:rFonts w:ascii="Calibri" w:hAnsi="Calibri" w:cs="Calibri"/>
              </w:rPr>
              <w:t>Inter-departmental Risk Management Team meetings</w:t>
            </w:r>
            <w:r w:rsidR="00403FC4">
              <w:rPr>
                <w:rFonts w:ascii="Calibri" w:hAnsi="Calibri" w:cs="Calibri"/>
              </w:rPr>
              <w:t xml:space="preserve"> must take place</w:t>
            </w:r>
            <w:r w:rsidR="00094A4E">
              <w:rPr>
                <w:rFonts w:ascii="Calibri" w:hAnsi="Calibri" w:cs="Calibri"/>
              </w:rPr>
              <w:t xml:space="preserve"> monthly</w:t>
            </w:r>
            <w:r w:rsidR="00403FC4">
              <w:rPr>
                <w:rFonts w:ascii="Calibri" w:hAnsi="Calibri" w:cs="Calibri"/>
              </w:rPr>
              <w:t xml:space="preserve">. </w:t>
            </w:r>
          </w:p>
        </w:tc>
        <w:tc>
          <w:tcPr>
            <w:tcW w:w="1156" w:type="dxa"/>
            <w:tcBorders>
              <w:bottom w:val="single" w:sz="4" w:space="0" w:color="auto"/>
            </w:tcBorders>
            <w:shd w:val="clear" w:color="auto" w:fill="BA89CD"/>
          </w:tcPr>
          <w:p w14:paraId="20D580C6" w14:textId="77777777" w:rsidR="004A4BAA" w:rsidRPr="00C466E1" w:rsidRDefault="004A4BAA" w:rsidP="00C466E1">
            <w:pPr>
              <w:jc w:val="center"/>
              <w:rPr>
                <w:b/>
              </w:rPr>
            </w:pPr>
            <w:r w:rsidRPr="00C466E1">
              <w:rPr>
                <w:b/>
              </w:rPr>
              <w:t>3</w:t>
            </w:r>
          </w:p>
        </w:tc>
        <w:tc>
          <w:tcPr>
            <w:tcW w:w="1820" w:type="dxa"/>
            <w:tcBorders>
              <w:bottom w:val="single" w:sz="4" w:space="0" w:color="auto"/>
            </w:tcBorders>
            <w:shd w:val="clear" w:color="auto" w:fill="BA89CD"/>
          </w:tcPr>
          <w:p w14:paraId="39B9FF67" w14:textId="77777777" w:rsidR="004A4BAA" w:rsidRDefault="004A4BAA" w:rsidP="00D23BC9">
            <w:pPr>
              <w:jc w:val="center"/>
              <w:rPr>
                <w:b/>
              </w:rPr>
            </w:pPr>
            <w:r>
              <w:rPr>
                <w:b/>
              </w:rPr>
              <w:t>Limited</w:t>
            </w:r>
          </w:p>
        </w:tc>
        <w:tc>
          <w:tcPr>
            <w:tcW w:w="4314" w:type="dxa"/>
            <w:tcBorders>
              <w:bottom w:val="single" w:sz="4" w:space="0" w:color="auto"/>
            </w:tcBorders>
            <w:shd w:val="clear" w:color="auto" w:fill="BA89CD"/>
          </w:tcPr>
          <w:p w14:paraId="2F87D33B" w14:textId="77777777" w:rsidR="00107323" w:rsidRPr="00713271" w:rsidRDefault="00177B61" w:rsidP="00107323">
            <w:pPr>
              <w:jc w:val="both"/>
              <w:rPr>
                <w:b/>
                <w:u w:val="single"/>
              </w:rPr>
            </w:pPr>
            <w:hyperlink r:id="rId24" w:history="1">
              <w:r w:rsidR="00107323" w:rsidRPr="00713271">
                <w:rPr>
                  <w:rStyle w:val="Hyperlink"/>
                  <w:b/>
                  <w:color w:val="auto"/>
                </w:rPr>
                <w:t>Public Protection</w:t>
              </w:r>
            </w:hyperlink>
          </w:p>
          <w:p w14:paraId="08BF5CD9" w14:textId="77777777" w:rsidR="004A4BAA" w:rsidRPr="00713271" w:rsidRDefault="002A058F" w:rsidP="00D23BC9">
            <w:r w:rsidRPr="00713271">
              <w:t>Consider conference calls for IDRMT meetings</w:t>
            </w:r>
          </w:p>
          <w:p w14:paraId="30599F37" w14:textId="77777777" w:rsidR="00C71DAA" w:rsidRPr="00713271" w:rsidRDefault="00070B74" w:rsidP="00D23BC9">
            <w:r w:rsidRPr="00713271">
              <w:rPr>
                <w:rFonts w:ascii="Calibri" w:hAnsi="Calibri" w:cs="Calibri"/>
              </w:rPr>
              <w:t xml:space="preserve">All PHE </w:t>
            </w:r>
            <w:proofErr w:type="gramStart"/>
            <w:r w:rsidRPr="00713271">
              <w:rPr>
                <w:rFonts w:ascii="Calibri" w:hAnsi="Calibri" w:cs="Calibri"/>
              </w:rPr>
              <w:t xml:space="preserve">guidance </w:t>
            </w:r>
            <w:r w:rsidRPr="00713271">
              <w:t xml:space="preserve"> around</w:t>
            </w:r>
            <w:proofErr w:type="gramEnd"/>
            <w:r w:rsidRPr="00713271">
              <w:t xml:space="preserve"> infection control including hand hygiene, physical distancing and appropriate use of PPE must be followed</w:t>
            </w:r>
            <w:r w:rsidRPr="00713271">
              <w:rPr>
                <w:rFonts w:ascii="Calibri" w:hAnsi="Calibri" w:cs="Calibri"/>
              </w:rPr>
              <w:t xml:space="preserve"> when holding these meetings. </w:t>
            </w:r>
          </w:p>
        </w:tc>
      </w:tr>
      <w:tr w:rsidR="00CE3709" w14:paraId="5FF5FCF2" w14:textId="77777777" w:rsidTr="0097422C">
        <w:trPr>
          <w:trHeight w:val="534"/>
        </w:trPr>
        <w:tc>
          <w:tcPr>
            <w:tcW w:w="1560" w:type="dxa"/>
            <w:vMerge w:val="restart"/>
            <w:shd w:val="clear" w:color="auto" w:fill="DBC1E5"/>
          </w:tcPr>
          <w:p w14:paraId="51C1C156" w14:textId="77777777" w:rsidR="00CE3709" w:rsidRDefault="00CE3709" w:rsidP="00467D4B">
            <w:pPr>
              <w:jc w:val="both"/>
              <w:rPr>
                <w:b/>
              </w:rPr>
            </w:pPr>
            <w:r>
              <w:rPr>
                <w:b/>
              </w:rPr>
              <w:lastRenderedPageBreak/>
              <w:t>3. Resettlement</w:t>
            </w:r>
          </w:p>
        </w:tc>
        <w:tc>
          <w:tcPr>
            <w:tcW w:w="5387" w:type="dxa"/>
            <w:tcBorders>
              <w:bottom w:val="single" w:sz="4" w:space="0" w:color="auto"/>
            </w:tcBorders>
            <w:shd w:val="clear" w:color="auto" w:fill="DBC1E5"/>
          </w:tcPr>
          <w:p w14:paraId="1122DB6F" w14:textId="77777777" w:rsidR="00CE3709" w:rsidRDefault="00CE3709" w:rsidP="00467D4B">
            <w:pPr>
              <w:jc w:val="both"/>
              <w:rPr>
                <w:b/>
              </w:rPr>
            </w:pPr>
          </w:p>
        </w:tc>
        <w:tc>
          <w:tcPr>
            <w:tcW w:w="1156" w:type="dxa"/>
            <w:tcBorders>
              <w:bottom w:val="single" w:sz="4" w:space="0" w:color="auto"/>
            </w:tcBorders>
            <w:shd w:val="clear" w:color="auto" w:fill="DBC1E5"/>
          </w:tcPr>
          <w:p w14:paraId="0148E6FA" w14:textId="77777777" w:rsidR="00CE3709" w:rsidRPr="00C466E1" w:rsidRDefault="00CE3709" w:rsidP="00C466E1">
            <w:pPr>
              <w:jc w:val="center"/>
              <w:rPr>
                <w:b/>
              </w:rPr>
            </w:pPr>
          </w:p>
        </w:tc>
        <w:tc>
          <w:tcPr>
            <w:tcW w:w="1820" w:type="dxa"/>
            <w:tcBorders>
              <w:bottom w:val="single" w:sz="4" w:space="0" w:color="auto"/>
            </w:tcBorders>
            <w:shd w:val="clear" w:color="auto" w:fill="DBC1E5"/>
          </w:tcPr>
          <w:p w14:paraId="64D1BA64" w14:textId="77777777" w:rsidR="00CE3709" w:rsidRDefault="00CE3709" w:rsidP="00467D4B">
            <w:pPr>
              <w:jc w:val="center"/>
              <w:rPr>
                <w:b/>
              </w:rPr>
            </w:pPr>
          </w:p>
        </w:tc>
        <w:tc>
          <w:tcPr>
            <w:tcW w:w="4314" w:type="dxa"/>
            <w:tcBorders>
              <w:bottom w:val="single" w:sz="4" w:space="0" w:color="auto"/>
            </w:tcBorders>
            <w:shd w:val="clear" w:color="auto" w:fill="DBC1E5"/>
          </w:tcPr>
          <w:p w14:paraId="5CE889A9" w14:textId="77777777" w:rsidR="00C21231" w:rsidRDefault="00C21231" w:rsidP="00467D4B">
            <w:pPr>
              <w:jc w:val="both"/>
            </w:pPr>
          </w:p>
        </w:tc>
      </w:tr>
      <w:tr w:rsidR="00CE3709" w14:paraId="57117690" w14:textId="77777777" w:rsidTr="00A30F0B">
        <w:trPr>
          <w:trHeight w:val="54"/>
        </w:trPr>
        <w:tc>
          <w:tcPr>
            <w:tcW w:w="1560" w:type="dxa"/>
            <w:vMerge/>
            <w:shd w:val="clear" w:color="auto" w:fill="DBC1E5"/>
          </w:tcPr>
          <w:p w14:paraId="7AF5C6F9" w14:textId="77777777" w:rsidR="00CE3709" w:rsidRDefault="00CE3709" w:rsidP="00467D4B">
            <w:pPr>
              <w:jc w:val="both"/>
              <w:rPr>
                <w:b/>
              </w:rPr>
            </w:pPr>
          </w:p>
        </w:tc>
        <w:tc>
          <w:tcPr>
            <w:tcW w:w="5387" w:type="dxa"/>
            <w:tcBorders>
              <w:bottom w:val="single" w:sz="4" w:space="0" w:color="auto"/>
            </w:tcBorders>
            <w:shd w:val="clear" w:color="auto" w:fill="DBC1E5"/>
          </w:tcPr>
          <w:p w14:paraId="41DF3059" w14:textId="77777777" w:rsidR="00CE3709" w:rsidRDefault="00CE3709" w:rsidP="00804869">
            <w:pPr>
              <w:jc w:val="both"/>
              <w:rPr>
                <w:b/>
              </w:rPr>
            </w:pPr>
            <w:r>
              <w:rPr>
                <w:b/>
              </w:rPr>
              <w:t>3.</w:t>
            </w:r>
            <w:r w:rsidR="002E690F">
              <w:rPr>
                <w:b/>
              </w:rPr>
              <w:t>1</w:t>
            </w:r>
            <w:r>
              <w:rPr>
                <w:b/>
              </w:rPr>
              <w:t xml:space="preserve"> </w:t>
            </w:r>
            <w:r w:rsidR="00804869">
              <w:rPr>
                <w:rFonts w:ascii="Calibri" w:hAnsi="Calibri" w:cs="Calibri"/>
              </w:rPr>
              <w:t>Remand, Sentence planning and L</w:t>
            </w:r>
            <w:r w:rsidR="002E690F">
              <w:rPr>
                <w:rFonts w:ascii="Calibri" w:hAnsi="Calibri" w:cs="Calibri"/>
              </w:rPr>
              <w:t>AC</w:t>
            </w:r>
            <w:r w:rsidR="00804869">
              <w:rPr>
                <w:rFonts w:ascii="Calibri" w:hAnsi="Calibri" w:cs="Calibri"/>
              </w:rPr>
              <w:t xml:space="preserve"> meetings should be held in line with YJB National Standards</w:t>
            </w:r>
            <w:r w:rsidR="002E690F">
              <w:rPr>
                <w:rFonts w:ascii="Calibri" w:hAnsi="Calibri" w:cs="Calibri"/>
              </w:rPr>
              <w:t xml:space="preserve"> and legislation</w:t>
            </w:r>
            <w:r w:rsidR="00804869">
              <w:rPr>
                <w:rFonts w:ascii="Calibri" w:hAnsi="Calibri" w:cs="Calibri"/>
              </w:rPr>
              <w:t>. These meetings should be carried out by the method agreed locally by each Establishment SMT</w:t>
            </w:r>
            <w:r w:rsidR="00403FC4">
              <w:rPr>
                <w:rFonts w:ascii="Calibri" w:hAnsi="Calibri" w:cs="Calibri"/>
              </w:rPr>
              <w:t xml:space="preserve"> and such methods will be dependent on the alert level and what is appropriate at that specific level and must be in accordance with PHE guidance</w:t>
            </w:r>
            <w:r w:rsidR="002E690F">
              <w:rPr>
                <w:rFonts w:ascii="Calibri" w:hAnsi="Calibri" w:cs="Calibri"/>
              </w:rPr>
              <w:t xml:space="preserve">. </w:t>
            </w:r>
            <w:r w:rsidR="00403FC4">
              <w:rPr>
                <w:rFonts w:ascii="Calibri" w:hAnsi="Calibri" w:cs="Calibri"/>
              </w:rPr>
              <w:t>O</w:t>
            </w:r>
            <w:r w:rsidR="002E690F">
              <w:rPr>
                <w:rFonts w:ascii="Calibri" w:hAnsi="Calibri" w:cs="Calibri"/>
              </w:rPr>
              <w:t xml:space="preserve">ther EDMs such as professional visits, </w:t>
            </w:r>
            <w:r w:rsidR="00403FC4">
              <w:rPr>
                <w:rFonts w:ascii="Calibri" w:hAnsi="Calibri" w:cs="Calibri"/>
              </w:rPr>
              <w:t>should all be considered when considering how meetings should take place.</w:t>
            </w:r>
          </w:p>
        </w:tc>
        <w:tc>
          <w:tcPr>
            <w:tcW w:w="1156" w:type="dxa"/>
            <w:shd w:val="clear" w:color="auto" w:fill="DBC1E5"/>
          </w:tcPr>
          <w:p w14:paraId="2A4EA3C5" w14:textId="77777777" w:rsidR="00CE3709" w:rsidRPr="00C466E1" w:rsidRDefault="00AB2CE8" w:rsidP="00C466E1">
            <w:pPr>
              <w:jc w:val="center"/>
              <w:rPr>
                <w:b/>
              </w:rPr>
            </w:pPr>
            <w:r w:rsidRPr="00C466E1">
              <w:rPr>
                <w:b/>
              </w:rPr>
              <w:t>3</w:t>
            </w:r>
          </w:p>
        </w:tc>
        <w:tc>
          <w:tcPr>
            <w:tcW w:w="1820" w:type="dxa"/>
            <w:shd w:val="clear" w:color="auto" w:fill="DBC1E5"/>
          </w:tcPr>
          <w:p w14:paraId="25ED8373" w14:textId="77777777" w:rsidR="00CE3709" w:rsidRDefault="00403FC4" w:rsidP="00467D4B">
            <w:pPr>
              <w:jc w:val="center"/>
              <w:rPr>
                <w:b/>
              </w:rPr>
            </w:pPr>
            <w:r>
              <w:rPr>
                <w:b/>
              </w:rPr>
              <w:t>Partial</w:t>
            </w:r>
          </w:p>
        </w:tc>
        <w:tc>
          <w:tcPr>
            <w:tcW w:w="4314" w:type="dxa"/>
            <w:shd w:val="clear" w:color="auto" w:fill="DBC1E5"/>
          </w:tcPr>
          <w:p w14:paraId="23D8A62D" w14:textId="77777777" w:rsidR="00CE3709" w:rsidRPr="00713271" w:rsidRDefault="00804869" w:rsidP="002E690F">
            <w:pPr>
              <w:spacing w:before="240"/>
              <w:jc w:val="both"/>
              <w:rPr>
                <w:rFonts w:cstheme="minorHAnsi"/>
              </w:rPr>
            </w:pPr>
            <w:r w:rsidRPr="00713271">
              <w:rPr>
                <w:rFonts w:cstheme="minorHAnsi"/>
              </w:rPr>
              <w:t xml:space="preserve">YJB National Standards </w:t>
            </w:r>
          </w:p>
          <w:p w14:paraId="496BC631" w14:textId="77777777" w:rsidR="00644AF3" w:rsidRPr="00713271" w:rsidRDefault="00644AF3" w:rsidP="002E690F">
            <w:pPr>
              <w:spacing w:before="240"/>
              <w:jc w:val="both"/>
              <w:rPr>
                <w:rFonts w:cstheme="minorHAnsi"/>
              </w:rPr>
            </w:pPr>
            <w:r w:rsidRPr="00713271">
              <w:rPr>
                <w:rFonts w:cstheme="minorHAnsi"/>
              </w:rPr>
              <w:t>Children Act 1989</w:t>
            </w:r>
          </w:p>
          <w:p w14:paraId="469F2855" w14:textId="77777777" w:rsidR="00644AF3" w:rsidRPr="00713271" w:rsidRDefault="00644AF3" w:rsidP="002E690F">
            <w:pPr>
              <w:spacing w:before="240"/>
              <w:jc w:val="both"/>
              <w:rPr>
                <w:rFonts w:cstheme="minorHAnsi"/>
              </w:rPr>
            </w:pPr>
            <w:r w:rsidRPr="00713271">
              <w:rPr>
                <w:rFonts w:cstheme="minorHAnsi"/>
              </w:rPr>
              <w:t>Children Leaving Care Act 2000</w:t>
            </w:r>
          </w:p>
          <w:p w14:paraId="62DB193F" w14:textId="77777777" w:rsidR="00644AF3" w:rsidRPr="00713271" w:rsidRDefault="00644AF3" w:rsidP="002E690F">
            <w:pPr>
              <w:spacing w:before="240"/>
              <w:jc w:val="both"/>
              <w:rPr>
                <w:rFonts w:cstheme="minorHAnsi"/>
              </w:rPr>
            </w:pPr>
            <w:r w:rsidRPr="00713271">
              <w:rPr>
                <w:rFonts w:cstheme="minorHAnsi"/>
              </w:rPr>
              <w:t>Care Planning Placement and Case Review Regulations</w:t>
            </w:r>
          </w:p>
          <w:p w14:paraId="0A6473F6" w14:textId="77777777" w:rsidR="006B0D53" w:rsidRPr="00713271" w:rsidRDefault="006B0D53" w:rsidP="002E690F">
            <w:pPr>
              <w:spacing w:before="240"/>
              <w:jc w:val="both"/>
              <w:rPr>
                <w:rFonts w:cstheme="minorHAnsi"/>
              </w:rPr>
            </w:pPr>
            <w:r w:rsidRPr="00713271">
              <w:rPr>
                <w:rFonts w:cstheme="minorHAnsi"/>
              </w:rPr>
              <w:t xml:space="preserve">Initial reviews will </w:t>
            </w:r>
            <w:r w:rsidR="00713271" w:rsidRPr="00713271">
              <w:rPr>
                <w:rFonts w:cstheme="minorHAnsi"/>
              </w:rPr>
              <w:t xml:space="preserve">be </w:t>
            </w:r>
            <w:r w:rsidRPr="00713271">
              <w:rPr>
                <w:rFonts w:cstheme="minorHAnsi"/>
              </w:rPr>
              <w:t>taking place once the 14 days on the RCU is completed, check ins with YOT’s and Children completed before the initial review.</w:t>
            </w:r>
          </w:p>
          <w:p w14:paraId="4AC15153" w14:textId="77777777" w:rsidR="00C71DAA" w:rsidRPr="00713271" w:rsidRDefault="00C71DAA" w:rsidP="00C71DAA">
            <w:pPr>
              <w:jc w:val="both"/>
            </w:pPr>
            <w:r w:rsidRPr="00713271">
              <w:t xml:space="preserve">For Looked After Children and Care Leavers, both of which are legal definitions, the following apply: </w:t>
            </w:r>
          </w:p>
          <w:p w14:paraId="7559B664" w14:textId="77777777" w:rsidR="00C71DAA" w:rsidRPr="00713271" w:rsidRDefault="00C71DAA" w:rsidP="00C71DAA">
            <w:pPr>
              <w:jc w:val="both"/>
            </w:pPr>
            <w:r w:rsidRPr="00713271">
              <w:t xml:space="preserve">The Children Act 1989, notably sections 20, 23 (A-E), 31, 38. </w:t>
            </w:r>
          </w:p>
          <w:p w14:paraId="0DB700FC" w14:textId="77777777" w:rsidR="00C71DAA" w:rsidRPr="00713271" w:rsidRDefault="00177B61" w:rsidP="00C71DAA">
            <w:pPr>
              <w:jc w:val="both"/>
            </w:pPr>
            <w:hyperlink r:id="rId25" w:history="1">
              <w:r w:rsidR="00C71DAA" w:rsidRPr="00713271">
                <w:rPr>
                  <w:rStyle w:val="Hyperlink"/>
                  <w:color w:val="auto"/>
                </w:rPr>
                <w:t>https://www.legislation.gov.uk/ukpga/1989/41/contents</w:t>
              </w:r>
            </w:hyperlink>
          </w:p>
          <w:p w14:paraId="40AD7154" w14:textId="77777777" w:rsidR="00C71DAA" w:rsidRPr="00713271" w:rsidRDefault="00C71DAA" w:rsidP="00C71DAA">
            <w:pPr>
              <w:jc w:val="both"/>
            </w:pPr>
            <w:r w:rsidRPr="00713271">
              <w:t>The (Children) Leaving Care Act 2000</w:t>
            </w:r>
            <w:hyperlink r:id="rId26" w:history="1">
              <w:r w:rsidRPr="00713271">
                <w:t>http://www.legislation.gov.uk/ukpga/2000/35/contents</w:t>
              </w:r>
            </w:hyperlink>
          </w:p>
          <w:p w14:paraId="58E17CAE" w14:textId="77777777" w:rsidR="00C71DAA" w:rsidRPr="00713271" w:rsidRDefault="00C71DAA" w:rsidP="00C71DAA">
            <w:pPr>
              <w:jc w:val="both"/>
            </w:pPr>
            <w:r w:rsidRPr="00713271">
              <w:t>The Children and Social Work Act 2017</w:t>
            </w:r>
          </w:p>
          <w:p w14:paraId="5D78FEE5" w14:textId="77777777" w:rsidR="00C71DAA" w:rsidRPr="00713271" w:rsidRDefault="00177B61" w:rsidP="00C71DAA">
            <w:pPr>
              <w:jc w:val="both"/>
            </w:pPr>
            <w:hyperlink r:id="rId27" w:history="1">
              <w:r w:rsidR="00C71DAA" w:rsidRPr="00713271">
                <w:rPr>
                  <w:rStyle w:val="Hyperlink"/>
                  <w:color w:val="auto"/>
                </w:rPr>
                <w:t>http://www.legislation.gov.uk/ukpga/2017/16/contents/enacted</w:t>
              </w:r>
            </w:hyperlink>
          </w:p>
          <w:p w14:paraId="05D76F50" w14:textId="77777777" w:rsidR="00C71DAA" w:rsidRPr="00713271" w:rsidRDefault="00C71DAA" w:rsidP="00C71DAA">
            <w:pPr>
              <w:jc w:val="both"/>
            </w:pPr>
            <w:r w:rsidRPr="00713271">
              <w:t>And the Care Planning Placement and Case Review (England) Regulations and the Care Planning Placement and Case Review (Wales) Regulations</w:t>
            </w:r>
          </w:p>
          <w:p w14:paraId="34D5F48E" w14:textId="77777777" w:rsidR="00C71DAA" w:rsidRPr="00713271" w:rsidRDefault="00177B61" w:rsidP="00C71DAA">
            <w:pPr>
              <w:jc w:val="both"/>
            </w:pPr>
            <w:hyperlink r:id="rId28" w:history="1">
              <w:r w:rsidR="00C71DAA" w:rsidRPr="00713271">
                <w:rPr>
                  <w:rStyle w:val="Hyperlink"/>
                  <w:color w:val="auto"/>
                </w:rPr>
                <w:t>http://www.legislation.gov.uk/uksi/2010/959/contents/made</w:t>
              </w:r>
            </w:hyperlink>
          </w:p>
          <w:p w14:paraId="0F13B0AC" w14:textId="77777777" w:rsidR="00C71DAA" w:rsidRPr="00713271" w:rsidRDefault="00C71DAA" w:rsidP="00C71DAA">
            <w:pPr>
              <w:jc w:val="both"/>
            </w:pPr>
            <w:r w:rsidRPr="00713271">
              <w:t>http://www.legislation.gov.uk/wsi/2015/1818/contents/made</w:t>
            </w:r>
          </w:p>
          <w:p w14:paraId="016D7C19" w14:textId="77777777" w:rsidR="00C71DAA" w:rsidRPr="00713271" w:rsidRDefault="00C71DAA" w:rsidP="00C71DAA">
            <w:pPr>
              <w:jc w:val="both"/>
            </w:pPr>
            <w:r w:rsidRPr="00713271">
              <w:t xml:space="preserve">Key in </w:t>
            </w:r>
            <w:proofErr w:type="gramStart"/>
            <w:r w:rsidRPr="00713271">
              <w:t>all of</w:t>
            </w:r>
            <w:proofErr w:type="gramEnd"/>
            <w:r w:rsidRPr="00713271">
              <w:t xml:space="preserve"> the above are the meetings and functions that a secure site will be required to facilitate and support. </w:t>
            </w:r>
          </w:p>
          <w:p w14:paraId="603E74BE" w14:textId="77777777" w:rsidR="00AF614E" w:rsidRPr="00713271" w:rsidRDefault="00070B74" w:rsidP="002E690F">
            <w:pPr>
              <w:spacing w:before="240"/>
              <w:jc w:val="both"/>
            </w:pPr>
            <w:r w:rsidRPr="00713271">
              <w:rPr>
                <w:rFonts w:ascii="Calibri" w:hAnsi="Calibri" w:cs="Calibri"/>
              </w:rPr>
              <w:t xml:space="preserve">All PHE guidance </w:t>
            </w:r>
            <w:r w:rsidRPr="00713271">
              <w:t>around infection control including hand hygiene, physical distancing and appropriate use of PPE must be followed</w:t>
            </w:r>
            <w:r w:rsidRPr="00713271">
              <w:rPr>
                <w:rFonts w:ascii="Calibri" w:hAnsi="Calibri" w:cs="Calibri"/>
              </w:rPr>
              <w:t xml:space="preserve"> when holding these meetings.</w:t>
            </w:r>
          </w:p>
        </w:tc>
      </w:tr>
      <w:tr w:rsidR="00CE3709" w14:paraId="7D10BF74" w14:textId="77777777" w:rsidTr="00A30F0B">
        <w:trPr>
          <w:trHeight w:val="54"/>
        </w:trPr>
        <w:tc>
          <w:tcPr>
            <w:tcW w:w="1560" w:type="dxa"/>
            <w:vMerge/>
            <w:shd w:val="clear" w:color="auto" w:fill="DBC1E5"/>
          </w:tcPr>
          <w:p w14:paraId="53FE59F0" w14:textId="77777777" w:rsidR="00CE3709" w:rsidRDefault="00CE3709" w:rsidP="00467D4B">
            <w:pPr>
              <w:jc w:val="both"/>
              <w:rPr>
                <w:b/>
              </w:rPr>
            </w:pPr>
          </w:p>
        </w:tc>
        <w:tc>
          <w:tcPr>
            <w:tcW w:w="5387" w:type="dxa"/>
            <w:tcBorders>
              <w:bottom w:val="single" w:sz="4" w:space="0" w:color="auto"/>
            </w:tcBorders>
            <w:shd w:val="clear" w:color="auto" w:fill="DBC1E5"/>
          </w:tcPr>
          <w:p w14:paraId="5FCD2E0B" w14:textId="77777777" w:rsidR="00CE3709" w:rsidRDefault="00CE3709" w:rsidP="00D01543">
            <w:pPr>
              <w:rPr>
                <w:rFonts w:ascii="Calibri" w:hAnsi="Calibri" w:cs="Calibri"/>
              </w:rPr>
            </w:pPr>
            <w:r>
              <w:rPr>
                <w:rFonts w:ascii="Calibri" w:hAnsi="Calibri" w:cs="Calibri"/>
                <w:b/>
              </w:rPr>
              <w:t xml:space="preserve">3.3 </w:t>
            </w:r>
            <w:r w:rsidRPr="00715C9F">
              <w:rPr>
                <w:rFonts w:ascii="Calibri" w:hAnsi="Calibri" w:cs="Calibri"/>
              </w:rPr>
              <w:t xml:space="preserve">Contribution to MAPPA to continue via completion of the MAPPA F and </w:t>
            </w:r>
            <w:r>
              <w:rPr>
                <w:rFonts w:ascii="Calibri" w:hAnsi="Calibri" w:cs="Calibri"/>
              </w:rPr>
              <w:t xml:space="preserve">attendance at MAPPA meetings via the agreed technology pathway. </w:t>
            </w:r>
          </w:p>
          <w:p w14:paraId="5D6C3E60" w14:textId="77777777" w:rsidR="00CE3709" w:rsidRDefault="00CE3709" w:rsidP="00467D4B">
            <w:pPr>
              <w:jc w:val="both"/>
              <w:rPr>
                <w:b/>
              </w:rPr>
            </w:pPr>
          </w:p>
        </w:tc>
        <w:tc>
          <w:tcPr>
            <w:tcW w:w="1156" w:type="dxa"/>
            <w:shd w:val="clear" w:color="auto" w:fill="DBC1E5"/>
          </w:tcPr>
          <w:p w14:paraId="1CA1D5AC" w14:textId="77777777" w:rsidR="00CE3709" w:rsidRPr="00C466E1" w:rsidRDefault="00AB2CE8" w:rsidP="00C466E1">
            <w:pPr>
              <w:jc w:val="center"/>
              <w:rPr>
                <w:b/>
              </w:rPr>
            </w:pPr>
            <w:r w:rsidRPr="00C466E1">
              <w:rPr>
                <w:b/>
              </w:rPr>
              <w:t>3</w:t>
            </w:r>
          </w:p>
        </w:tc>
        <w:tc>
          <w:tcPr>
            <w:tcW w:w="1820" w:type="dxa"/>
            <w:shd w:val="clear" w:color="auto" w:fill="DBC1E5"/>
          </w:tcPr>
          <w:p w14:paraId="078EF770" w14:textId="77777777" w:rsidR="00CE3709" w:rsidRDefault="008B3EE4" w:rsidP="00467D4B">
            <w:pPr>
              <w:jc w:val="center"/>
              <w:rPr>
                <w:b/>
              </w:rPr>
            </w:pPr>
            <w:r>
              <w:rPr>
                <w:b/>
              </w:rPr>
              <w:t>Limited</w:t>
            </w:r>
          </w:p>
        </w:tc>
        <w:tc>
          <w:tcPr>
            <w:tcW w:w="4314" w:type="dxa"/>
            <w:shd w:val="clear" w:color="auto" w:fill="DBC1E5"/>
          </w:tcPr>
          <w:p w14:paraId="12B72FE6" w14:textId="77777777" w:rsidR="007B79A7" w:rsidRPr="00713271" w:rsidRDefault="00177B61" w:rsidP="007B79A7">
            <w:pPr>
              <w:jc w:val="both"/>
              <w:rPr>
                <w:b/>
                <w:u w:val="single"/>
              </w:rPr>
            </w:pPr>
            <w:hyperlink r:id="rId29" w:history="1">
              <w:r w:rsidR="007B79A7" w:rsidRPr="00713271">
                <w:rPr>
                  <w:rStyle w:val="Hyperlink"/>
                  <w:b/>
                  <w:color w:val="auto"/>
                </w:rPr>
                <w:t>MAPPA</w:t>
              </w:r>
            </w:hyperlink>
          </w:p>
          <w:p w14:paraId="18B5447A" w14:textId="77777777" w:rsidR="00CE3709" w:rsidRPr="00713271" w:rsidRDefault="00CE3709" w:rsidP="00467D4B">
            <w:pPr>
              <w:jc w:val="both"/>
            </w:pPr>
          </w:p>
        </w:tc>
      </w:tr>
      <w:tr w:rsidR="00CE3709" w14:paraId="2C7EC58A" w14:textId="77777777" w:rsidTr="00A30F0B">
        <w:trPr>
          <w:trHeight w:val="54"/>
        </w:trPr>
        <w:tc>
          <w:tcPr>
            <w:tcW w:w="1560" w:type="dxa"/>
            <w:vMerge/>
            <w:shd w:val="clear" w:color="auto" w:fill="DBC1E5"/>
          </w:tcPr>
          <w:p w14:paraId="068DBBC2" w14:textId="77777777" w:rsidR="00CE3709" w:rsidRDefault="00CE3709" w:rsidP="00467D4B">
            <w:pPr>
              <w:jc w:val="both"/>
              <w:rPr>
                <w:b/>
              </w:rPr>
            </w:pPr>
          </w:p>
        </w:tc>
        <w:tc>
          <w:tcPr>
            <w:tcW w:w="5387" w:type="dxa"/>
            <w:tcBorders>
              <w:bottom w:val="single" w:sz="4" w:space="0" w:color="auto"/>
            </w:tcBorders>
            <w:shd w:val="clear" w:color="auto" w:fill="DBC1E5"/>
          </w:tcPr>
          <w:p w14:paraId="0668A346" w14:textId="77777777" w:rsidR="00CE3709" w:rsidRDefault="00CE3709" w:rsidP="00467D4B">
            <w:pPr>
              <w:jc w:val="both"/>
              <w:rPr>
                <w:rFonts w:ascii="Calibri" w:hAnsi="Calibri" w:cs="Calibri"/>
              </w:rPr>
            </w:pPr>
            <w:r w:rsidRPr="00CE3709">
              <w:rPr>
                <w:rFonts w:ascii="Calibri" w:hAnsi="Calibri" w:cs="Calibri"/>
                <w:b/>
              </w:rPr>
              <w:t>3.4</w:t>
            </w:r>
            <w:r>
              <w:rPr>
                <w:rFonts w:ascii="Calibri" w:hAnsi="Calibri" w:cs="Calibri"/>
              </w:rPr>
              <w:t xml:space="preserve"> </w:t>
            </w:r>
            <w:r w:rsidRPr="00715C9F">
              <w:rPr>
                <w:rFonts w:ascii="Calibri" w:hAnsi="Calibri" w:cs="Calibri"/>
              </w:rPr>
              <w:t>ROTL</w:t>
            </w:r>
            <w:r w:rsidR="00403FC4">
              <w:rPr>
                <w:rFonts w:ascii="Calibri" w:hAnsi="Calibri" w:cs="Calibri"/>
              </w:rPr>
              <w:t>,</w:t>
            </w:r>
            <w:r w:rsidRPr="00715C9F">
              <w:rPr>
                <w:rFonts w:ascii="Calibri" w:hAnsi="Calibri" w:cs="Calibri"/>
              </w:rPr>
              <w:t xml:space="preserve"> HDC</w:t>
            </w:r>
            <w:r w:rsidR="000F2293">
              <w:rPr>
                <w:rFonts w:ascii="Calibri" w:hAnsi="Calibri" w:cs="Calibri"/>
              </w:rPr>
              <w:t xml:space="preserve">, </w:t>
            </w:r>
            <w:r w:rsidR="00403FC4">
              <w:rPr>
                <w:rFonts w:ascii="Calibri" w:hAnsi="Calibri" w:cs="Calibri"/>
              </w:rPr>
              <w:t xml:space="preserve">and </w:t>
            </w:r>
            <w:r w:rsidR="000F2293">
              <w:rPr>
                <w:rFonts w:ascii="Calibri" w:hAnsi="Calibri" w:cs="Calibri"/>
              </w:rPr>
              <w:t>Early Release</w:t>
            </w:r>
            <w:r w:rsidRPr="00715C9F">
              <w:rPr>
                <w:rFonts w:ascii="Calibri" w:hAnsi="Calibri" w:cs="Calibri"/>
              </w:rPr>
              <w:t xml:space="preserve"> boards</w:t>
            </w:r>
            <w:r>
              <w:rPr>
                <w:rFonts w:ascii="Calibri" w:hAnsi="Calibri" w:cs="Calibri"/>
              </w:rPr>
              <w:t xml:space="preserve"> and if </w:t>
            </w:r>
            <w:r w:rsidRPr="00715C9F">
              <w:rPr>
                <w:rFonts w:ascii="Calibri" w:hAnsi="Calibri" w:cs="Calibri"/>
              </w:rPr>
              <w:t xml:space="preserve">Emergency Release Procedures are enacted these </w:t>
            </w:r>
            <w:r>
              <w:rPr>
                <w:rFonts w:ascii="Calibri" w:hAnsi="Calibri" w:cs="Calibri"/>
              </w:rPr>
              <w:t xml:space="preserve">should be </w:t>
            </w:r>
            <w:r w:rsidRPr="00715C9F">
              <w:rPr>
                <w:rFonts w:ascii="Calibri" w:hAnsi="Calibri" w:cs="Calibri"/>
              </w:rPr>
              <w:t xml:space="preserve">conducted remotely. </w:t>
            </w:r>
          </w:p>
          <w:p w14:paraId="774C64D5" w14:textId="77777777" w:rsidR="00403FC4" w:rsidRDefault="00403FC4" w:rsidP="00467D4B">
            <w:pPr>
              <w:jc w:val="both"/>
              <w:rPr>
                <w:b/>
              </w:rPr>
            </w:pPr>
            <w:r w:rsidRPr="00403FC4">
              <w:t xml:space="preserve">Please refer to the </w:t>
            </w:r>
            <w:r>
              <w:t xml:space="preserve">YCS </w:t>
            </w:r>
            <w:r w:rsidRPr="00403FC4">
              <w:t>ROTL EDM for ROTL processes</w:t>
            </w:r>
            <w:r>
              <w:rPr>
                <w:b/>
              </w:rPr>
              <w:t>.</w:t>
            </w:r>
          </w:p>
        </w:tc>
        <w:tc>
          <w:tcPr>
            <w:tcW w:w="1156" w:type="dxa"/>
            <w:shd w:val="clear" w:color="auto" w:fill="DBC1E5"/>
          </w:tcPr>
          <w:p w14:paraId="48C52641" w14:textId="77777777" w:rsidR="00CE3709" w:rsidRPr="00C466E1" w:rsidRDefault="00AB2CE8" w:rsidP="00C466E1">
            <w:pPr>
              <w:jc w:val="center"/>
              <w:rPr>
                <w:b/>
              </w:rPr>
            </w:pPr>
            <w:r w:rsidRPr="00C466E1">
              <w:rPr>
                <w:b/>
              </w:rPr>
              <w:t>3</w:t>
            </w:r>
          </w:p>
        </w:tc>
        <w:tc>
          <w:tcPr>
            <w:tcW w:w="1820" w:type="dxa"/>
            <w:shd w:val="clear" w:color="auto" w:fill="DBC1E5"/>
          </w:tcPr>
          <w:p w14:paraId="4E597496" w14:textId="77777777" w:rsidR="00CE3709" w:rsidRDefault="008B3EE4" w:rsidP="00467D4B">
            <w:pPr>
              <w:jc w:val="center"/>
              <w:rPr>
                <w:b/>
              </w:rPr>
            </w:pPr>
            <w:r>
              <w:rPr>
                <w:b/>
              </w:rPr>
              <w:t>Limited</w:t>
            </w:r>
          </w:p>
        </w:tc>
        <w:tc>
          <w:tcPr>
            <w:tcW w:w="4314" w:type="dxa"/>
            <w:shd w:val="clear" w:color="auto" w:fill="DBC1E5"/>
          </w:tcPr>
          <w:p w14:paraId="58DA8AB0" w14:textId="77777777" w:rsidR="00A808EC" w:rsidRPr="00713271" w:rsidRDefault="00177B61" w:rsidP="007B79A7">
            <w:pPr>
              <w:jc w:val="both"/>
              <w:rPr>
                <w:b/>
                <w:u w:val="single"/>
              </w:rPr>
            </w:pPr>
            <w:hyperlink r:id="rId30" w:history="1">
              <w:r w:rsidR="00A808EC" w:rsidRPr="00713271">
                <w:rPr>
                  <w:rStyle w:val="Hyperlink"/>
                  <w:b/>
                  <w:color w:val="auto"/>
                </w:rPr>
                <w:t>HDC</w:t>
              </w:r>
            </w:hyperlink>
          </w:p>
          <w:p w14:paraId="530766DD" w14:textId="77777777" w:rsidR="00107323" w:rsidRPr="00713271" w:rsidRDefault="00107323" w:rsidP="007B79A7">
            <w:pPr>
              <w:jc w:val="both"/>
              <w:rPr>
                <w:b/>
                <w:u w:val="single"/>
              </w:rPr>
            </w:pPr>
          </w:p>
          <w:p w14:paraId="5E021FD3" w14:textId="77777777" w:rsidR="00107323" w:rsidRPr="00713271" w:rsidRDefault="00177B61" w:rsidP="00107323">
            <w:pPr>
              <w:jc w:val="both"/>
              <w:rPr>
                <w:rStyle w:val="Hyperlink"/>
                <w:b/>
                <w:color w:val="auto"/>
              </w:rPr>
            </w:pPr>
            <w:hyperlink r:id="rId31" w:history="1">
              <w:r w:rsidR="00107323" w:rsidRPr="00713271">
                <w:rPr>
                  <w:rStyle w:val="Hyperlink"/>
                  <w:b/>
                  <w:color w:val="auto"/>
                </w:rPr>
                <w:t>ROTL</w:t>
              </w:r>
            </w:hyperlink>
          </w:p>
          <w:p w14:paraId="128BBEF1" w14:textId="77777777" w:rsidR="00A20CF4" w:rsidRPr="00713271" w:rsidRDefault="00A20CF4" w:rsidP="00107323">
            <w:pPr>
              <w:jc w:val="both"/>
              <w:rPr>
                <w:rStyle w:val="Hyperlink"/>
                <w:b/>
                <w:color w:val="auto"/>
              </w:rPr>
            </w:pPr>
            <w:r w:rsidRPr="00713271">
              <w:rPr>
                <w:rStyle w:val="Hyperlink"/>
                <w:b/>
                <w:color w:val="auto"/>
              </w:rPr>
              <w:t xml:space="preserve"> </w:t>
            </w:r>
          </w:p>
          <w:p w14:paraId="1628DC80" w14:textId="77777777" w:rsidR="00A20CF4" w:rsidRPr="00713271" w:rsidRDefault="00A20CF4" w:rsidP="00107323">
            <w:pPr>
              <w:jc w:val="both"/>
              <w:rPr>
                <w:b/>
                <w:u w:val="single"/>
              </w:rPr>
            </w:pPr>
            <w:r w:rsidRPr="00713271">
              <w:rPr>
                <w:rStyle w:val="Hyperlink"/>
                <w:b/>
                <w:color w:val="auto"/>
              </w:rPr>
              <w:t>Early Release</w:t>
            </w:r>
          </w:p>
          <w:p w14:paraId="389FCFC6" w14:textId="77777777" w:rsidR="00107323" w:rsidRPr="00713271" w:rsidRDefault="00107323" w:rsidP="007B79A7">
            <w:pPr>
              <w:jc w:val="both"/>
              <w:rPr>
                <w:b/>
                <w:u w:val="single"/>
              </w:rPr>
            </w:pPr>
          </w:p>
          <w:p w14:paraId="65F2BE63" w14:textId="77777777" w:rsidR="00CE3709" w:rsidRPr="00713271" w:rsidRDefault="00CE3709" w:rsidP="00467D4B">
            <w:pPr>
              <w:jc w:val="both"/>
            </w:pPr>
          </w:p>
        </w:tc>
      </w:tr>
      <w:tr w:rsidR="00CE3709" w:rsidRPr="00BC5317" w14:paraId="35C6E9EE" w14:textId="77777777" w:rsidTr="001236AF">
        <w:trPr>
          <w:trHeight w:val="1447"/>
        </w:trPr>
        <w:tc>
          <w:tcPr>
            <w:tcW w:w="1560" w:type="dxa"/>
            <w:vMerge/>
            <w:shd w:val="clear" w:color="auto" w:fill="7F4098"/>
          </w:tcPr>
          <w:p w14:paraId="166D165A" w14:textId="77777777" w:rsidR="00CE3709" w:rsidRPr="00BC5317" w:rsidRDefault="00CE3709" w:rsidP="00467D4B">
            <w:pPr>
              <w:jc w:val="both"/>
              <w:rPr>
                <w:b/>
                <w:color w:val="FFFFFF" w:themeColor="background1"/>
              </w:rPr>
            </w:pPr>
          </w:p>
        </w:tc>
        <w:tc>
          <w:tcPr>
            <w:tcW w:w="5387" w:type="dxa"/>
            <w:tcBorders>
              <w:bottom w:val="single" w:sz="4" w:space="0" w:color="auto"/>
            </w:tcBorders>
            <w:shd w:val="clear" w:color="auto" w:fill="DBC1E5"/>
          </w:tcPr>
          <w:p w14:paraId="71FF3EA7" w14:textId="77777777" w:rsidR="00CE3709" w:rsidRPr="00BC5317" w:rsidRDefault="001236AF" w:rsidP="00467D4B">
            <w:pPr>
              <w:jc w:val="both"/>
              <w:rPr>
                <w:b/>
                <w:color w:val="FFFFFF" w:themeColor="background1"/>
              </w:rPr>
            </w:pPr>
            <w:r>
              <w:rPr>
                <w:rFonts w:ascii="Calibri" w:hAnsi="Calibri" w:cs="Calibri"/>
                <w:b/>
              </w:rPr>
              <w:t xml:space="preserve">3.5 </w:t>
            </w:r>
            <w:r w:rsidR="00CE3709" w:rsidRPr="00715C9F">
              <w:rPr>
                <w:rFonts w:ascii="Calibri" w:hAnsi="Calibri" w:cs="Calibri"/>
              </w:rPr>
              <w:t>Licence conditions</w:t>
            </w:r>
            <w:r w:rsidR="00CE3709">
              <w:rPr>
                <w:rFonts w:ascii="Calibri" w:hAnsi="Calibri" w:cs="Calibri"/>
              </w:rPr>
              <w:t xml:space="preserve"> to be discussed between</w:t>
            </w:r>
            <w:r w:rsidR="004F0988">
              <w:rPr>
                <w:rFonts w:ascii="Calibri" w:hAnsi="Calibri" w:cs="Calibri"/>
              </w:rPr>
              <w:t xml:space="preserve"> the </w:t>
            </w:r>
            <w:r w:rsidR="00BB7AE6">
              <w:rPr>
                <w:rFonts w:ascii="Calibri" w:hAnsi="Calibri" w:cs="Calibri"/>
              </w:rPr>
              <w:t xml:space="preserve">Resettlement Practitioner /Caseworker </w:t>
            </w:r>
            <w:r w:rsidR="00CE3709">
              <w:rPr>
                <w:rFonts w:ascii="Calibri" w:hAnsi="Calibri" w:cs="Calibri"/>
              </w:rPr>
              <w:t xml:space="preserve">and </w:t>
            </w:r>
            <w:r w:rsidR="00BB7AE6">
              <w:rPr>
                <w:rFonts w:ascii="Calibri" w:hAnsi="Calibri" w:cs="Calibri"/>
              </w:rPr>
              <w:t>YOT Officer</w:t>
            </w:r>
            <w:r w:rsidR="00CE3709">
              <w:rPr>
                <w:rFonts w:ascii="Calibri" w:hAnsi="Calibri" w:cs="Calibri"/>
              </w:rPr>
              <w:t xml:space="preserve"> </w:t>
            </w:r>
            <w:r w:rsidR="00BB7AE6">
              <w:rPr>
                <w:rFonts w:ascii="Calibri" w:hAnsi="Calibri" w:cs="Calibri"/>
              </w:rPr>
              <w:t xml:space="preserve">/parent/guardian </w:t>
            </w:r>
            <w:r w:rsidR="00CE3709">
              <w:rPr>
                <w:rFonts w:ascii="Calibri" w:hAnsi="Calibri" w:cs="Calibri"/>
              </w:rPr>
              <w:t xml:space="preserve">and </w:t>
            </w:r>
            <w:r w:rsidR="00BB7AE6">
              <w:rPr>
                <w:rFonts w:ascii="Calibri" w:hAnsi="Calibri" w:cs="Calibri"/>
              </w:rPr>
              <w:t>Resettlement Practitioner/</w:t>
            </w:r>
            <w:proofErr w:type="gramStart"/>
            <w:r w:rsidR="00BB7AE6">
              <w:rPr>
                <w:rFonts w:ascii="Calibri" w:hAnsi="Calibri" w:cs="Calibri"/>
              </w:rPr>
              <w:t xml:space="preserve">Caseworker </w:t>
            </w:r>
            <w:r w:rsidR="00CE3709">
              <w:rPr>
                <w:rFonts w:ascii="Calibri" w:hAnsi="Calibri" w:cs="Calibri"/>
              </w:rPr>
              <w:t xml:space="preserve"> to</w:t>
            </w:r>
            <w:proofErr w:type="gramEnd"/>
            <w:r w:rsidR="00CE3709">
              <w:rPr>
                <w:rFonts w:ascii="Calibri" w:hAnsi="Calibri" w:cs="Calibri"/>
              </w:rPr>
              <w:t xml:space="preserve"> chase the </w:t>
            </w:r>
            <w:r w:rsidR="00804869">
              <w:rPr>
                <w:rFonts w:ascii="Calibri" w:hAnsi="Calibri" w:cs="Calibri"/>
              </w:rPr>
              <w:t>YOT</w:t>
            </w:r>
            <w:r w:rsidR="00BB7AE6">
              <w:rPr>
                <w:rFonts w:ascii="Calibri" w:hAnsi="Calibri" w:cs="Calibri"/>
              </w:rPr>
              <w:t xml:space="preserve"> Officer</w:t>
            </w:r>
            <w:r w:rsidR="00CE3709">
              <w:rPr>
                <w:rFonts w:ascii="Calibri" w:hAnsi="Calibri" w:cs="Calibri"/>
              </w:rPr>
              <w:t xml:space="preserve"> if the </w:t>
            </w:r>
            <w:r w:rsidR="00BB7AE6">
              <w:rPr>
                <w:rFonts w:ascii="Calibri" w:hAnsi="Calibri" w:cs="Calibri"/>
              </w:rPr>
              <w:t>Release plan</w:t>
            </w:r>
            <w:r w:rsidR="00CE3709">
              <w:rPr>
                <w:rFonts w:ascii="Calibri" w:hAnsi="Calibri" w:cs="Calibri"/>
              </w:rPr>
              <w:t xml:space="preserve"> </w:t>
            </w:r>
            <w:r w:rsidR="00BB7AE6">
              <w:rPr>
                <w:rFonts w:ascii="Calibri" w:hAnsi="Calibri" w:cs="Calibri"/>
              </w:rPr>
              <w:t xml:space="preserve">with licence conditions </w:t>
            </w:r>
            <w:r w:rsidR="00CE3709">
              <w:rPr>
                <w:rFonts w:ascii="Calibri" w:hAnsi="Calibri" w:cs="Calibri"/>
              </w:rPr>
              <w:t xml:space="preserve">has not been received in a timely manner. Communication to the </w:t>
            </w:r>
            <w:r w:rsidR="00BB7AE6">
              <w:rPr>
                <w:rFonts w:ascii="Calibri" w:hAnsi="Calibri" w:cs="Calibri"/>
              </w:rPr>
              <w:t>Child/Young Person</w:t>
            </w:r>
            <w:r w:rsidR="00CE3709">
              <w:rPr>
                <w:rFonts w:ascii="Calibri" w:hAnsi="Calibri" w:cs="Calibri"/>
              </w:rPr>
              <w:t xml:space="preserve"> on the agreed licence conditions should</w:t>
            </w:r>
            <w:r w:rsidR="00CE3709" w:rsidRPr="00715C9F">
              <w:rPr>
                <w:rFonts w:ascii="Calibri" w:hAnsi="Calibri" w:cs="Calibri"/>
              </w:rPr>
              <w:t xml:space="preserve"> </w:t>
            </w:r>
            <w:r w:rsidR="002A058F">
              <w:rPr>
                <w:rFonts w:ascii="Calibri" w:hAnsi="Calibri" w:cs="Calibri"/>
                <w:color w:val="FF0000"/>
              </w:rPr>
              <w:t xml:space="preserve">be </w:t>
            </w:r>
            <w:r w:rsidR="00CE3709" w:rsidRPr="00715C9F">
              <w:rPr>
                <w:rFonts w:ascii="Calibri" w:hAnsi="Calibri" w:cs="Calibri"/>
              </w:rPr>
              <w:t xml:space="preserve">carried out by a method agreed locally by each </w:t>
            </w:r>
            <w:r w:rsidR="00BB7AE6">
              <w:rPr>
                <w:rFonts w:ascii="Calibri" w:hAnsi="Calibri" w:cs="Calibri"/>
              </w:rPr>
              <w:t xml:space="preserve">Establishment </w:t>
            </w:r>
            <w:r w:rsidR="00CE3709" w:rsidRPr="00715C9F">
              <w:rPr>
                <w:rFonts w:ascii="Calibri" w:hAnsi="Calibri" w:cs="Calibri"/>
              </w:rPr>
              <w:t>SMT</w:t>
            </w:r>
          </w:p>
        </w:tc>
        <w:tc>
          <w:tcPr>
            <w:tcW w:w="1156" w:type="dxa"/>
            <w:shd w:val="clear" w:color="auto" w:fill="DBC1E5"/>
          </w:tcPr>
          <w:p w14:paraId="68138334" w14:textId="77777777" w:rsidR="00CE3709" w:rsidRPr="00C466E1" w:rsidRDefault="00F75983" w:rsidP="00C466E1">
            <w:pPr>
              <w:jc w:val="center"/>
              <w:rPr>
                <w:b/>
                <w:color w:val="FFFFFF" w:themeColor="background1"/>
              </w:rPr>
            </w:pPr>
            <w:r w:rsidRPr="00C466E1">
              <w:rPr>
                <w:b/>
              </w:rPr>
              <w:t>2</w:t>
            </w:r>
          </w:p>
        </w:tc>
        <w:tc>
          <w:tcPr>
            <w:tcW w:w="1820" w:type="dxa"/>
            <w:shd w:val="clear" w:color="auto" w:fill="DBC1E5"/>
          </w:tcPr>
          <w:p w14:paraId="4F9D4984" w14:textId="77777777" w:rsidR="00CE3709" w:rsidRPr="00BC5317" w:rsidRDefault="008B3EE4" w:rsidP="00443669">
            <w:pPr>
              <w:jc w:val="center"/>
              <w:rPr>
                <w:b/>
                <w:color w:val="FFFFFF" w:themeColor="background1"/>
              </w:rPr>
            </w:pPr>
            <w:r w:rsidRPr="008B3EE4">
              <w:rPr>
                <w:b/>
              </w:rPr>
              <w:t>Partial</w:t>
            </w:r>
          </w:p>
        </w:tc>
        <w:tc>
          <w:tcPr>
            <w:tcW w:w="4314" w:type="dxa"/>
            <w:shd w:val="clear" w:color="auto" w:fill="DBC1E5"/>
          </w:tcPr>
          <w:p w14:paraId="601A2ECF" w14:textId="77777777" w:rsidR="00BB7AE6" w:rsidRDefault="00BB7AE6" w:rsidP="00097D43">
            <w:r>
              <w:t>National Standards</w:t>
            </w:r>
          </w:p>
          <w:p w14:paraId="67829D94" w14:textId="77777777" w:rsidR="007F413A" w:rsidRPr="00097D43" w:rsidRDefault="007F413A" w:rsidP="00097D43">
            <w:pPr>
              <w:rPr>
                <w:b/>
                <w:u w:val="single"/>
              </w:rPr>
            </w:pPr>
          </w:p>
          <w:p w14:paraId="18E42390" w14:textId="77777777" w:rsidR="00CE3709" w:rsidRDefault="00BB7AE6" w:rsidP="00467D4B">
            <w:pPr>
              <w:jc w:val="both"/>
            </w:pPr>
            <w:r w:rsidRPr="00403FC4">
              <w:t>Notices of Supervision: guidance for Youth Offending teams</w:t>
            </w:r>
          </w:p>
          <w:p w14:paraId="03351B44" w14:textId="77777777" w:rsidR="006B0D53" w:rsidRDefault="006B0D53" w:rsidP="00467D4B">
            <w:pPr>
              <w:jc w:val="both"/>
              <w:rPr>
                <w:color w:val="FFFFFF" w:themeColor="background1"/>
              </w:rPr>
            </w:pPr>
          </w:p>
          <w:p w14:paraId="2763ABEA" w14:textId="77777777" w:rsidR="006B0D53" w:rsidRPr="00403FC4" w:rsidRDefault="006B0D53" w:rsidP="00467D4B">
            <w:pPr>
              <w:jc w:val="both"/>
              <w:rPr>
                <w:color w:val="FFFFFF" w:themeColor="background1"/>
              </w:rPr>
            </w:pPr>
          </w:p>
        </w:tc>
      </w:tr>
      <w:tr w:rsidR="00CE3709" w14:paraId="5D2E076A" w14:textId="77777777" w:rsidTr="00CA7215">
        <w:tc>
          <w:tcPr>
            <w:tcW w:w="1560" w:type="dxa"/>
            <w:vMerge/>
            <w:shd w:val="clear" w:color="auto" w:fill="DBC1E5"/>
          </w:tcPr>
          <w:p w14:paraId="2B09299A" w14:textId="77777777" w:rsidR="00CE3709" w:rsidRDefault="00CE3709" w:rsidP="00467D4B">
            <w:pPr>
              <w:rPr>
                <w:b/>
              </w:rPr>
            </w:pPr>
          </w:p>
        </w:tc>
        <w:tc>
          <w:tcPr>
            <w:tcW w:w="5387" w:type="dxa"/>
            <w:tcBorders>
              <w:bottom w:val="single" w:sz="4" w:space="0" w:color="auto"/>
            </w:tcBorders>
            <w:shd w:val="clear" w:color="auto" w:fill="DBC1E5"/>
          </w:tcPr>
          <w:p w14:paraId="198DC021" w14:textId="77777777" w:rsidR="00CE3709" w:rsidRPr="006928BB" w:rsidRDefault="001236AF" w:rsidP="00593E2B">
            <w:r>
              <w:rPr>
                <w:rFonts w:ascii="Calibri" w:hAnsi="Calibri" w:cs="Calibri"/>
                <w:b/>
              </w:rPr>
              <w:t xml:space="preserve">3.6 </w:t>
            </w:r>
            <w:r w:rsidR="00CE3709">
              <w:rPr>
                <w:rFonts w:ascii="Calibri" w:hAnsi="Calibri" w:cs="Calibri"/>
              </w:rPr>
              <w:t>Sentence Planning Review Meeting SPRL reports for parole</w:t>
            </w:r>
            <w:r w:rsidR="00CE3709" w:rsidRPr="009C4186">
              <w:rPr>
                <w:rFonts w:ascii="Calibri" w:hAnsi="Calibri" w:cs="Calibri"/>
              </w:rPr>
              <w:t xml:space="preserve">. Where it is not possible to interview a </w:t>
            </w:r>
            <w:r w:rsidR="00593E2B" w:rsidRPr="009C4186">
              <w:rPr>
                <w:rFonts w:ascii="Calibri" w:hAnsi="Calibri" w:cs="Calibri"/>
              </w:rPr>
              <w:t>Child/Young Person</w:t>
            </w:r>
            <w:r w:rsidR="00D07193" w:rsidRPr="009C4186">
              <w:rPr>
                <w:rFonts w:ascii="Calibri" w:hAnsi="Calibri" w:cs="Calibri"/>
              </w:rPr>
              <w:t xml:space="preserve"> face to face for </w:t>
            </w:r>
            <w:proofErr w:type="gramStart"/>
            <w:r w:rsidR="00D07193" w:rsidRPr="009C4186">
              <w:rPr>
                <w:rFonts w:ascii="Calibri" w:hAnsi="Calibri" w:cs="Calibri"/>
              </w:rPr>
              <w:t>reports  alternative</w:t>
            </w:r>
            <w:proofErr w:type="gramEnd"/>
            <w:r w:rsidR="00D07193" w:rsidRPr="009C4186">
              <w:rPr>
                <w:rFonts w:ascii="Calibri" w:hAnsi="Calibri" w:cs="Calibri"/>
              </w:rPr>
              <w:t xml:space="preserve">  technology should be explored ,such as in room telephones</w:t>
            </w:r>
            <w:r w:rsidR="00D07193">
              <w:rPr>
                <w:rFonts w:ascii="Calibri" w:hAnsi="Calibri" w:cs="Calibri"/>
              </w:rPr>
              <w:t xml:space="preserve"> </w:t>
            </w:r>
            <w:r w:rsidR="00E60128">
              <w:rPr>
                <w:rFonts w:ascii="Calibri" w:hAnsi="Calibri" w:cs="Calibri"/>
              </w:rPr>
              <w:t xml:space="preserve">and </w:t>
            </w:r>
            <w:r w:rsidR="00CE3709" w:rsidRPr="00715C9F">
              <w:rPr>
                <w:rFonts w:ascii="Calibri" w:hAnsi="Calibri" w:cs="Calibri"/>
              </w:rPr>
              <w:t xml:space="preserve"> using existing assessments</w:t>
            </w:r>
            <w:r w:rsidR="00CE3709">
              <w:rPr>
                <w:rFonts w:ascii="Calibri" w:hAnsi="Calibri" w:cs="Calibri"/>
              </w:rPr>
              <w:t xml:space="preserve"> and </w:t>
            </w:r>
            <w:r w:rsidR="00CE3709" w:rsidRPr="00715C9F">
              <w:rPr>
                <w:rFonts w:ascii="Calibri" w:hAnsi="Calibri" w:cs="Calibri"/>
              </w:rPr>
              <w:t xml:space="preserve">any new information available on quantum </w:t>
            </w:r>
            <w:r w:rsidR="00CE3709" w:rsidRPr="00715C9F">
              <w:rPr>
                <w:rFonts w:ascii="Calibri" w:hAnsi="Calibri" w:cs="Calibri"/>
              </w:rPr>
              <w:lastRenderedPageBreak/>
              <w:t>systems</w:t>
            </w:r>
            <w:r w:rsidR="000F2293">
              <w:rPr>
                <w:rFonts w:ascii="Calibri" w:hAnsi="Calibri" w:cs="Calibri"/>
              </w:rPr>
              <w:t>,</w:t>
            </w:r>
            <w:r w:rsidR="00403FC4">
              <w:rPr>
                <w:rFonts w:ascii="Calibri" w:hAnsi="Calibri" w:cs="Calibri"/>
              </w:rPr>
              <w:t xml:space="preserve"> </w:t>
            </w:r>
            <w:r w:rsidR="000F2293">
              <w:rPr>
                <w:rFonts w:ascii="Calibri" w:hAnsi="Calibri" w:cs="Calibri"/>
              </w:rPr>
              <w:t>ASSET PLUS</w:t>
            </w:r>
            <w:r w:rsidR="00CE3709">
              <w:rPr>
                <w:rFonts w:ascii="Calibri" w:hAnsi="Calibri" w:cs="Calibri"/>
              </w:rPr>
              <w:t xml:space="preserve"> and in conjunction with the</w:t>
            </w:r>
            <w:r w:rsidR="00593E2B">
              <w:rPr>
                <w:rFonts w:ascii="Calibri" w:hAnsi="Calibri" w:cs="Calibri"/>
              </w:rPr>
              <w:t xml:space="preserve"> YOT </w:t>
            </w:r>
            <w:r w:rsidR="00CE3709">
              <w:rPr>
                <w:rFonts w:ascii="Calibri" w:hAnsi="Calibri" w:cs="Calibri"/>
              </w:rPr>
              <w:t xml:space="preserve">. </w:t>
            </w:r>
          </w:p>
        </w:tc>
        <w:tc>
          <w:tcPr>
            <w:tcW w:w="1156" w:type="dxa"/>
            <w:shd w:val="clear" w:color="auto" w:fill="DBC1E5"/>
          </w:tcPr>
          <w:p w14:paraId="6E107AE4" w14:textId="77777777" w:rsidR="00CE3709" w:rsidRPr="00C466E1" w:rsidRDefault="00F75983" w:rsidP="00C466E1">
            <w:pPr>
              <w:jc w:val="center"/>
              <w:rPr>
                <w:b/>
              </w:rPr>
            </w:pPr>
            <w:r w:rsidRPr="00C466E1">
              <w:rPr>
                <w:b/>
              </w:rPr>
              <w:lastRenderedPageBreak/>
              <w:t>3</w:t>
            </w:r>
          </w:p>
        </w:tc>
        <w:tc>
          <w:tcPr>
            <w:tcW w:w="1820" w:type="dxa"/>
            <w:shd w:val="clear" w:color="auto" w:fill="DBC1E5"/>
          </w:tcPr>
          <w:p w14:paraId="094772EB" w14:textId="77777777" w:rsidR="00CE3709" w:rsidRDefault="00443669" w:rsidP="00443669">
            <w:pPr>
              <w:jc w:val="center"/>
              <w:rPr>
                <w:b/>
              </w:rPr>
            </w:pPr>
            <w:r>
              <w:rPr>
                <w:b/>
              </w:rPr>
              <w:t>Limited</w:t>
            </w:r>
          </w:p>
        </w:tc>
        <w:tc>
          <w:tcPr>
            <w:tcW w:w="4314" w:type="dxa"/>
            <w:shd w:val="clear" w:color="auto" w:fill="DBC1E5"/>
          </w:tcPr>
          <w:p w14:paraId="15105F0A" w14:textId="77777777" w:rsidR="00B0106B" w:rsidRPr="00713271" w:rsidRDefault="00177B61" w:rsidP="00B0106B">
            <w:pPr>
              <w:jc w:val="both"/>
              <w:rPr>
                <w:b/>
                <w:u w:val="single"/>
              </w:rPr>
            </w:pPr>
            <w:hyperlink r:id="rId32" w:history="1">
              <w:r w:rsidR="00B0106B" w:rsidRPr="00713271">
                <w:rPr>
                  <w:rStyle w:val="Hyperlink"/>
                  <w:b/>
                  <w:color w:val="auto"/>
                </w:rPr>
                <w:t>Parole</w:t>
              </w:r>
            </w:hyperlink>
          </w:p>
          <w:p w14:paraId="301AC8EB" w14:textId="77777777" w:rsidR="00A90CB2" w:rsidRPr="00713271" w:rsidRDefault="00A90CB2" w:rsidP="00467D4B">
            <w:pPr>
              <w:jc w:val="both"/>
              <w:rPr>
                <w:rFonts w:ascii="Calibri" w:hAnsi="Calibri" w:cs="Calibri"/>
              </w:rPr>
            </w:pPr>
          </w:p>
          <w:p w14:paraId="0E9AA163" w14:textId="77777777" w:rsidR="00CE3709" w:rsidRPr="00C71DAA" w:rsidRDefault="00C71DAA" w:rsidP="00467D4B">
            <w:pPr>
              <w:jc w:val="both"/>
              <w:rPr>
                <w:color w:val="2F5496" w:themeColor="accent5" w:themeShade="BF"/>
              </w:rPr>
            </w:pPr>
            <w:r w:rsidRPr="00713271">
              <w:rPr>
                <w:rFonts w:ascii="Calibri" w:hAnsi="Calibri" w:cs="Calibri"/>
              </w:rPr>
              <w:t>The YOT Officer should be able to utilise Video Conferencing Facilities to interview the child or young person for the Parole Report and make an informed recommendation.</w:t>
            </w:r>
          </w:p>
        </w:tc>
      </w:tr>
      <w:tr w:rsidR="004F10D7" w14:paraId="53FF5BAD" w14:textId="77777777" w:rsidTr="00274ADB">
        <w:trPr>
          <w:trHeight w:val="1535"/>
        </w:trPr>
        <w:tc>
          <w:tcPr>
            <w:tcW w:w="1560" w:type="dxa"/>
            <w:vMerge/>
            <w:shd w:val="clear" w:color="auto" w:fill="DBC1E5"/>
          </w:tcPr>
          <w:p w14:paraId="49DF4D0B" w14:textId="77777777" w:rsidR="004F10D7" w:rsidRDefault="004F10D7" w:rsidP="00467D4B">
            <w:pPr>
              <w:jc w:val="both"/>
              <w:rPr>
                <w:b/>
              </w:rPr>
            </w:pPr>
          </w:p>
        </w:tc>
        <w:tc>
          <w:tcPr>
            <w:tcW w:w="5387" w:type="dxa"/>
            <w:shd w:val="clear" w:color="auto" w:fill="DBC1E5"/>
          </w:tcPr>
          <w:p w14:paraId="169B692E" w14:textId="77777777" w:rsidR="004F10D7" w:rsidRPr="006928BB" w:rsidRDefault="004F10D7" w:rsidP="0097422C">
            <w:r w:rsidRPr="004F10D7">
              <w:rPr>
                <w:rFonts w:ascii="Calibri" w:hAnsi="Calibri" w:cs="Calibri"/>
                <w:b/>
              </w:rPr>
              <w:t>3.7</w:t>
            </w:r>
            <w:r>
              <w:rPr>
                <w:rFonts w:ascii="Calibri" w:hAnsi="Calibri" w:cs="Calibri"/>
              </w:rPr>
              <w:t xml:space="preserve"> Recall discussion to take place between</w:t>
            </w:r>
            <w:r w:rsidR="00A80F00">
              <w:rPr>
                <w:rFonts w:ascii="Calibri" w:hAnsi="Calibri" w:cs="Calibri"/>
              </w:rPr>
              <w:t xml:space="preserve"> </w:t>
            </w:r>
            <w:proofErr w:type="gramStart"/>
            <w:r w:rsidR="00A80F00">
              <w:rPr>
                <w:rFonts w:ascii="Calibri" w:hAnsi="Calibri" w:cs="Calibri"/>
              </w:rPr>
              <w:t xml:space="preserve">Resettlement </w:t>
            </w:r>
            <w:r>
              <w:rPr>
                <w:rFonts w:ascii="Calibri" w:hAnsi="Calibri" w:cs="Calibri"/>
              </w:rPr>
              <w:t xml:space="preserve"> </w:t>
            </w:r>
            <w:r w:rsidR="00A80F00">
              <w:rPr>
                <w:rFonts w:ascii="Calibri" w:hAnsi="Calibri" w:cs="Calibri"/>
              </w:rPr>
              <w:t>Practitioner</w:t>
            </w:r>
            <w:proofErr w:type="gramEnd"/>
            <w:r w:rsidR="00A80F00">
              <w:rPr>
                <w:rFonts w:ascii="Calibri" w:hAnsi="Calibri" w:cs="Calibri"/>
              </w:rPr>
              <w:t xml:space="preserve"> /Caseworker </w:t>
            </w:r>
            <w:r>
              <w:rPr>
                <w:rFonts w:ascii="Calibri" w:hAnsi="Calibri" w:cs="Calibri"/>
              </w:rPr>
              <w:t xml:space="preserve">and </w:t>
            </w:r>
            <w:r w:rsidR="00A80F00">
              <w:rPr>
                <w:rFonts w:ascii="Calibri" w:hAnsi="Calibri" w:cs="Calibri"/>
              </w:rPr>
              <w:t>YOT Officer</w:t>
            </w:r>
            <w:r>
              <w:rPr>
                <w:rFonts w:ascii="Calibri" w:hAnsi="Calibri" w:cs="Calibri"/>
              </w:rPr>
              <w:t xml:space="preserve"> via agree</w:t>
            </w:r>
            <w:r w:rsidR="00F75983">
              <w:rPr>
                <w:rFonts w:ascii="Calibri" w:hAnsi="Calibri" w:cs="Calibri"/>
              </w:rPr>
              <w:t>d</w:t>
            </w:r>
            <w:r>
              <w:rPr>
                <w:rFonts w:ascii="Calibri" w:hAnsi="Calibri" w:cs="Calibri"/>
              </w:rPr>
              <w:t xml:space="preserve"> technology pathway and c</w:t>
            </w:r>
            <w:r w:rsidRPr="00715C9F">
              <w:rPr>
                <w:rFonts w:ascii="Calibri" w:hAnsi="Calibri" w:cs="Calibri"/>
              </w:rPr>
              <w:t xml:space="preserve">ommunication with the </w:t>
            </w:r>
            <w:r w:rsidR="00A80F00">
              <w:rPr>
                <w:rFonts w:ascii="Calibri" w:hAnsi="Calibri" w:cs="Calibri"/>
              </w:rPr>
              <w:t>Child/Young Person</w:t>
            </w:r>
            <w:r w:rsidRPr="00715C9F">
              <w:rPr>
                <w:rFonts w:ascii="Calibri" w:hAnsi="Calibri" w:cs="Calibri"/>
              </w:rPr>
              <w:t xml:space="preserve"> regarding </w:t>
            </w:r>
            <w:r>
              <w:rPr>
                <w:rFonts w:ascii="Calibri" w:hAnsi="Calibri" w:cs="Calibri"/>
              </w:rPr>
              <w:t xml:space="preserve">Part B report and any representations to </w:t>
            </w:r>
            <w:r w:rsidRPr="00715C9F">
              <w:rPr>
                <w:rFonts w:ascii="Calibri" w:hAnsi="Calibri" w:cs="Calibri"/>
              </w:rPr>
              <w:t>be carried out by a method agreed locally by each prison SMT</w:t>
            </w:r>
            <w:r>
              <w:rPr>
                <w:rFonts w:ascii="Calibri" w:hAnsi="Calibri" w:cs="Calibri"/>
              </w:rPr>
              <w:t>.</w:t>
            </w:r>
          </w:p>
        </w:tc>
        <w:tc>
          <w:tcPr>
            <w:tcW w:w="1156" w:type="dxa"/>
            <w:tcBorders>
              <w:bottom w:val="single" w:sz="4" w:space="0" w:color="auto"/>
            </w:tcBorders>
            <w:shd w:val="clear" w:color="auto" w:fill="DBC1E5"/>
          </w:tcPr>
          <w:p w14:paraId="631EB671" w14:textId="77777777" w:rsidR="004F10D7" w:rsidRPr="00C466E1" w:rsidRDefault="004E2679" w:rsidP="00C466E1">
            <w:pPr>
              <w:jc w:val="center"/>
              <w:rPr>
                <w:b/>
              </w:rPr>
            </w:pPr>
            <w:r w:rsidRPr="00C466E1">
              <w:rPr>
                <w:b/>
              </w:rPr>
              <w:t>2</w:t>
            </w:r>
          </w:p>
        </w:tc>
        <w:tc>
          <w:tcPr>
            <w:tcW w:w="1820" w:type="dxa"/>
            <w:tcBorders>
              <w:bottom w:val="single" w:sz="4" w:space="0" w:color="auto"/>
            </w:tcBorders>
            <w:shd w:val="clear" w:color="auto" w:fill="DBC1E5"/>
          </w:tcPr>
          <w:p w14:paraId="2C49F7C0" w14:textId="77777777" w:rsidR="00443669" w:rsidRDefault="00443669" w:rsidP="004F10D7">
            <w:pPr>
              <w:jc w:val="center"/>
              <w:rPr>
                <w:b/>
              </w:rPr>
            </w:pPr>
            <w:r>
              <w:rPr>
                <w:b/>
              </w:rPr>
              <w:t>Partial</w:t>
            </w:r>
          </w:p>
        </w:tc>
        <w:tc>
          <w:tcPr>
            <w:tcW w:w="4314" w:type="dxa"/>
            <w:tcBorders>
              <w:bottom w:val="single" w:sz="4" w:space="0" w:color="auto"/>
            </w:tcBorders>
            <w:shd w:val="clear" w:color="auto" w:fill="DBC1E5"/>
          </w:tcPr>
          <w:p w14:paraId="2CB24D67" w14:textId="77777777" w:rsidR="004F7F86" w:rsidRPr="00713271" w:rsidRDefault="00177B61" w:rsidP="004F7F86">
            <w:pPr>
              <w:jc w:val="both"/>
              <w:rPr>
                <w:b/>
                <w:u w:val="single"/>
              </w:rPr>
            </w:pPr>
            <w:hyperlink r:id="rId33" w:history="1">
              <w:r w:rsidR="004F7F86" w:rsidRPr="00713271">
                <w:rPr>
                  <w:rStyle w:val="Hyperlink"/>
                  <w:b/>
                  <w:color w:val="auto"/>
                </w:rPr>
                <w:t>Recall</w:t>
              </w:r>
            </w:hyperlink>
          </w:p>
          <w:p w14:paraId="4F503B4A" w14:textId="77777777" w:rsidR="004F10D7" w:rsidRPr="00713271" w:rsidRDefault="00A4552F" w:rsidP="004F10D7">
            <w:r w:rsidRPr="00713271">
              <w:t xml:space="preserve">Resettlement </w:t>
            </w:r>
            <w:proofErr w:type="spellStart"/>
            <w:r w:rsidRPr="00713271">
              <w:t>practioners</w:t>
            </w:r>
            <w:proofErr w:type="spellEnd"/>
            <w:r w:rsidRPr="00713271">
              <w:t>/caseworkers are both band 4 op and non op staff in YCS</w:t>
            </w:r>
          </w:p>
        </w:tc>
      </w:tr>
      <w:tr w:rsidR="004F10D7" w14:paraId="432CEDB9" w14:textId="77777777" w:rsidTr="00CA7215">
        <w:tc>
          <w:tcPr>
            <w:tcW w:w="1560" w:type="dxa"/>
            <w:shd w:val="clear" w:color="auto" w:fill="C092D2"/>
          </w:tcPr>
          <w:p w14:paraId="066CD4DE" w14:textId="77777777" w:rsidR="004F10D7" w:rsidRDefault="004F10D7" w:rsidP="004F10D7">
            <w:pPr>
              <w:rPr>
                <w:b/>
              </w:rPr>
            </w:pPr>
            <w:r>
              <w:rPr>
                <w:b/>
              </w:rPr>
              <w:t>4. Case Admin/prison officer tasks</w:t>
            </w:r>
          </w:p>
        </w:tc>
        <w:tc>
          <w:tcPr>
            <w:tcW w:w="5387" w:type="dxa"/>
            <w:tcBorders>
              <w:bottom w:val="single" w:sz="4" w:space="0" w:color="auto"/>
            </w:tcBorders>
            <w:shd w:val="clear" w:color="auto" w:fill="C092D2"/>
          </w:tcPr>
          <w:p w14:paraId="182EF409" w14:textId="77777777" w:rsidR="004F10D7" w:rsidRDefault="004F10D7" w:rsidP="004F10D7">
            <w:pPr>
              <w:rPr>
                <w:rFonts w:ascii="Calibri" w:hAnsi="Calibri" w:cs="Calibri"/>
              </w:rPr>
            </w:pPr>
            <w:r w:rsidRPr="00D075B4">
              <w:rPr>
                <w:b/>
              </w:rPr>
              <w:t>4.1</w:t>
            </w:r>
            <w:r>
              <w:rPr>
                <w:b/>
              </w:rPr>
              <w:t xml:space="preserve"> </w:t>
            </w:r>
            <w:r>
              <w:rPr>
                <w:rFonts w:ascii="Calibri" w:hAnsi="Calibri" w:cs="Calibri"/>
              </w:rPr>
              <w:t>Tasks which support the OMU are completed and communicated to all relevant OMU staff and any actions followed up by the</w:t>
            </w:r>
            <w:r w:rsidR="00A80F00">
              <w:rPr>
                <w:rFonts w:ascii="Calibri" w:hAnsi="Calibri" w:cs="Calibri"/>
              </w:rPr>
              <w:t xml:space="preserve"> Resettlement Practitioner/ Caseworker</w:t>
            </w:r>
          </w:p>
          <w:p w14:paraId="5C54B743" w14:textId="77777777" w:rsidR="004F10D7" w:rsidRDefault="004F10D7" w:rsidP="004F10D7">
            <w:pPr>
              <w:rPr>
                <w:rFonts w:ascii="Calibri" w:hAnsi="Calibri" w:cs="Calibri"/>
              </w:rPr>
            </w:pPr>
          </w:p>
          <w:p w14:paraId="390775CF" w14:textId="77777777" w:rsidR="004F10D7" w:rsidRPr="009367AE" w:rsidRDefault="004F10D7" w:rsidP="004F10D7">
            <w:pPr>
              <w:pStyle w:val="ListParagraph"/>
              <w:numPr>
                <w:ilvl w:val="0"/>
                <w:numId w:val="35"/>
              </w:numPr>
              <w:rPr>
                <w:rFonts w:ascii="Calibri" w:hAnsi="Calibri" w:cs="Calibri"/>
              </w:rPr>
            </w:pPr>
            <w:r w:rsidRPr="009367AE">
              <w:rPr>
                <w:rFonts w:ascii="Calibri" w:hAnsi="Calibri" w:cs="Calibri"/>
              </w:rPr>
              <w:t>Licence/discharge paperwork</w:t>
            </w:r>
          </w:p>
          <w:p w14:paraId="6E3F5253" w14:textId="77777777" w:rsidR="004F10D7" w:rsidRPr="009367AE" w:rsidRDefault="004F10D7" w:rsidP="004F10D7">
            <w:pPr>
              <w:pStyle w:val="ListParagraph"/>
              <w:numPr>
                <w:ilvl w:val="0"/>
                <w:numId w:val="35"/>
              </w:numPr>
              <w:rPr>
                <w:rFonts w:ascii="Calibri" w:hAnsi="Calibri" w:cs="Calibri"/>
              </w:rPr>
            </w:pPr>
            <w:r w:rsidRPr="009367AE">
              <w:rPr>
                <w:rFonts w:ascii="Calibri" w:hAnsi="Calibri" w:cs="Calibri"/>
              </w:rPr>
              <w:t xml:space="preserve">HDC/ROTL </w:t>
            </w:r>
            <w:r w:rsidR="00593E2B">
              <w:rPr>
                <w:rFonts w:ascii="Calibri" w:hAnsi="Calibri" w:cs="Calibri"/>
              </w:rPr>
              <w:t>/Early Release</w:t>
            </w:r>
          </w:p>
          <w:p w14:paraId="0E4628FA" w14:textId="77777777" w:rsidR="004F10D7" w:rsidRPr="009367AE" w:rsidRDefault="004F10D7" w:rsidP="004F10D7">
            <w:pPr>
              <w:pStyle w:val="ListParagraph"/>
              <w:numPr>
                <w:ilvl w:val="0"/>
                <w:numId w:val="35"/>
              </w:numPr>
              <w:rPr>
                <w:rFonts w:ascii="Calibri" w:hAnsi="Calibri" w:cs="Calibri"/>
              </w:rPr>
            </w:pPr>
            <w:r w:rsidRPr="009367AE">
              <w:rPr>
                <w:rFonts w:ascii="Calibri" w:hAnsi="Calibri" w:cs="Calibri"/>
              </w:rPr>
              <w:t>Sentence calculation</w:t>
            </w:r>
          </w:p>
          <w:p w14:paraId="349EA4CF" w14:textId="77777777" w:rsidR="004F10D7" w:rsidRPr="009367AE" w:rsidRDefault="004F10D7" w:rsidP="004F10D7">
            <w:pPr>
              <w:pStyle w:val="ListParagraph"/>
              <w:numPr>
                <w:ilvl w:val="0"/>
                <w:numId w:val="35"/>
              </w:numPr>
              <w:rPr>
                <w:rFonts w:ascii="Calibri" w:hAnsi="Calibri" w:cs="Calibri"/>
              </w:rPr>
            </w:pPr>
            <w:r w:rsidRPr="009367AE">
              <w:rPr>
                <w:rFonts w:ascii="Calibri" w:hAnsi="Calibri" w:cs="Calibri"/>
              </w:rPr>
              <w:t>Custody office functions</w:t>
            </w:r>
          </w:p>
          <w:p w14:paraId="4525768F" w14:textId="77777777" w:rsidR="004F10D7" w:rsidRPr="009367AE" w:rsidRDefault="004F10D7" w:rsidP="004F10D7">
            <w:pPr>
              <w:pStyle w:val="ListParagraph"/>
              <w:numPr>
                <w:ilvl w:val="0"/>
                <w:numId w:val="35"/>
              </w:numPr>
              <w:rPr>
                <w:rFonts w:ascii="Calibri" w:hAnsi="Calibri" w:cs="Calibri"/>
              </w:rPr>
            </w:pPr>
            <w:r w:rsidRPr="009367AE">
              <w:rPr>
                <w:rFonts w:ascii="Calibri" w:hAnsi="Calibri" w:cs="Calibri"/>
              </w:rPr>
              <w:t>Bail and supported accommodation for HDC</w:t>
            </w:r>
          </w:p>
          <w:p w14:paraId="4942323A" w14:textId="77777777" w:rsidR="004F10D7" w:rsidRPr="009367AE" w:rsidRDefault="004F10D7" w:rsidP="004F10D7">
            <w:pPr>
              <w:pStyle w:val="ListParagraph"/>
              <w:numPr>
                <w:ilvl w:val="0"/>
                <w:numId w:val="35"/>
              </w:numPr>
              <w:rPr>
                <w:rFonts w:ascii="Calibri" w:hAnsi="Calibri" w:cs="Calibri"/>
              </w:rPr>
            </w:pPr>
            <w:r w:rsidRPr="009367AE">
              <w:rPr>
                <w:rFonts w:ascii="Calibri" w:hAnsi="Calibri" w:cs="Calibri"/>
              </w:rPr>
              <w:t>PNC</w:t>
            </w:r>
          </w:p>
          <w:p w14:paraId="0B8DB297" w14:textId="77777777" w:rsidR="004F10D7" w:rsidRPr="009367AE" w:rsidRDefault="004F10D7" w:rsidP="004F10D7">
            <w:pPr>
              <w:pStyle w:val="ListParagraph"/>
              <w:numPr>
                <w:ilvl w:val="0"/>
                <w:numId w:val="35"/>
              </w:numPr>
              <w:rPr>
                <w:rFonts w:ascii="Calibri" w:hAnsi="Calibri" w:cs="Calibri"/>
              </w:rPr>
            </w:pPr>
            <w:r w:rsidRPr="009367AE">
              <w:rPr>
                <w:rFonts w:ascii="Calibri" w:hAnsi="Calibri" w:cs="Calibri"/>
              </w:rPr>
              <w:t>Confiscations orders</w:t>
            </w:r>
          </w:p>
          <w:p w14:paraId="56090453" w14:textId="77777777" w:rsidR="004F10D7" w:rsidRPr="009367AE" w:rsidRDefault="004F10D7" w:rsidP="004F10D7">
            <w:pPr>
              <w:pStyle w:val="ListParagraph"/>
              <w:numPr>
                <w:ilvl w:val="0"/>
                <w:numId w:val="35"/>
              </w:numPr>
              <w:rPr>
                <w:rFonts w:ascii="Calibri" w:hAnsi="Calibri" w:cs="Calibri"/>
              </w:rPr>
            </w:pPr>
            <w:proofErr w:type="spellStart"/>
            <w:r w:rsidRPr="009367AE">
              <w:rPr>
                <w:rFonts w:ascii="Calibri" w:hAnsi="Calibri" w:cs="Calibri"/>
              </w:rPr>
              <w:t>ViSoR</w:t>
            </w:r>
            <w:proofErr w:type="spellEnd"/>
          </w:p>
          <w:p w14:paraId="32F7CA35" w14:textId="77777777" w:rsidR="004F10D7" w:rsidRPr="00CD7784" w:rsidRDefault="004F10D7" w:rsidP="004F10D7">
            <w:pPr>
              <w:pStyle w:val="ListParagraph"/>
              <w:numPr>
                <w:ilvl w:val="0"/>
                <w:numId w:val="35"/>
              </w:numPr>
              <w:rPr>
                <w:rFonts w:cstheme="minorHAnsi"/>
              </w:rPr>
            </w:pPr>
            <w:r w:rsidRPr="00CD7784">
              <w:rPr>
                <w:rFonts w:cstheme="minorHAnsi"/>
              </w:rPr>
              <w:t xml:space="preserve">LISP1s –parole eligible determinates and extended sentences should be prioritised however, indeterminates should be actioned where possible. </w:t>
            </w:r>
          </w:p>
          <w:p w14:paraId="671515DD" w14:textId="77777777" w:rsidR="004F10D7" w:rsidRPr="006928BB" w:rsidRDefault="004F10D7" w:rsidP="004F10D7">
            <w:pPr>
              <w:jc w:val="both"/>
            </w:pPr>
          </w:p>
        </w:tc>
        <w:tc>
          <w:tcPr>
            <w:tcW w:w="1156" w:type="dxa"/>
            <w:tcBorders>
              <w:bottom w:val="single" w:sz="4" w:space="0" w:color="auto"/>
            </w:tcBorders>
            <w:shd w:val="clear" w:color="auto" w:fill="C092D2"/>
          </w:tcPr>
          <w:p w14:paraId="2EF4AB7C" w14:textId="77777777" w:rsidR="004F10D7" w:rsidRPr="00C466E1" w:rsidRDefault="004E2679" w:rsidP="00C466E1">
            <w:pPr>
              <w:jc w:val="center"/>
              <w:rPr>
                <w:b/>
              </w:rPr>
            </w:pPr>
            <w:r w:rsidRPr="00C466E1">
              <w:rPr>
                <w:b/>
              </w:rPr>
              <w:t>3</w:t>
            </w:r>
          </w:p>
        </w:tc>
        <w:tc>
          <w:tcPr>
            <w:tcW w:w="1820" w:type="dxa"/>
            <w:tcBorders>
              <w:bottom w:val="single" w:sz="4" w:space="0" w:color="auto"/>
            </w:tcBorders>
            <w:shd w:val="clear" w:color="auto" w:fill="C092D2"/>
          </w:tcPr>
          <w:p w14:paraId="7B63729C" w14:textId="77777777" w:rsidR="004F10D7" w:rsidRDefault="00443669" w:rsidP="004F10D7">
            <w:pPr>
              <w:jc w:val="center"/>
              <w:rPr>
                <w:b/>
              </w:rPr>
            </w:pPr>
            <w:r>
              <w:rPr>
                <w:b/>
              </w:rPr>
              <w:t>Limited</w:t>
            </w:r>
          </w:p>
        </w:tc>
        <w:tc>
          <w:tcPr>
            <w:tcW w:w="4314" w:type="dxa"/>
            <w:tcBorders>
              <w:bottom w:val="single" w:sz="4" w:space="0" w:color="auto"/>
            </w:tcBorders>
            <w:shd w:val="clear" w:color="auto" w:fill="C092D2"/>
          </w:tcPr>
          <w:p w14:paraId="3130BE36" w14:textId="77777777" w:rsidR="00A80F00" w:rsidRPr="00713271" w:rsidRDefault="00A80F00" w:rsidP="004F10D7">
            <w:r w:rsidRPr="00713271">
              <w:t>National Standards</w:t>
            </w:r>
          </w:p>
          <w:p w14:paraId="35FDFB0E" w14:textId="77777777" w:rsidR="00A80F00" w:rsidRPr="00713271" w:rsidRDefault="00A80F00" w:rsidP="004F10D7"/>
          <w:p w14:paraId="6B950EF7" w14:textId="77777777" w:rsidR="00A80F00" w:rsidRPr="00713271" w:rsidRDefault="00A80F00" w:rsidP="004F10D7">
            <w:r w:rsidRPr="00713271">
              <w:t xml:space="preserve">Public Protection </w:t>
            </w:r>
            <w:r w:rsidR="000F2293" w:rsidRPr="00713271">
              <w:t>Manu</w:t>
            </w:r>
            <w:r w:rsidR="00C72F35" w:rsidRPr="00713271">
              <w:t>a</w:t>
            </w:r>
            <w:r w:rsidR="000F2293" w:rsidRPr="00713271">
              <w:t>l 2018</w:t>
            </w:r>
          </w:p>
          <w:p w14:paraId="506C137D" w14:textId="77777777" w:rsidR="004F10D7" w:rsidRPr="00713271" w:rsidRDefault="004F10D7" w:rsidP="004F10D7">
            <w:pPr>
              <w:rPr>
                <w:rFonts w:ascii="Calibri" w:hAnsi="Calibri" w:cs="Calibri"/>
              </w:rPr>
            </w:pPr>
          </w:p>
          <w:p w14:paraId="5D3482B1" w14:textId="77777777" w:rsidR="004F10D7" w:rsidRPr="00713271" w:rsidRDefault="00A4552F" w:rsidP="004F10D7">
            <w:pPr>
              <w:jc w:val="both"/>
            </w:pPr>
            <w:r w:rsidRPr="00713271">
              <w:t xml:space="preserve">Resettlement </w:t>
            </w:r>
            <w:proofErr w:type="spellStart"/>
            <w:r w:rsidRPr="00713271">
              <w:t>practioners</w:t>
            </w:r>
            <w:proofErr w:type="spellEnd"/>
            <w:r w:rsidRPr="00713271">
              <w:t>/caseworkers are both band 4 op and non op staff in YCS.</w:t>
            </w:r>
          </w:p>
          <w:p w14:paraId="4286A9CD" w14:textId="77777777" w:rsidR="00A4552F" w:rsidRPr="00713271" w:rsidRDefault="00A4552F" w:rsidP="004F10D7">
            <w:pPr>
              <w:jc w:val="both"/>
            </w:pPr>
            <w:r w:rsidRPr="00713271">
              <w:t xml:space="preserve">OMU administration roles are </w:t>
            </w:r>
            <w:proofErr w:type="spellStart"/>
            <w:r w:rsidRPr="00713271">
              <w:t>non operational</w:t>
            </w:r>
            <w:proofErr w:type="spellEnd"/>
          </w:p>
        </w:tc>
      </w:tr>
      <w:tr w:rsidR="004F10D7" w14:paraId="2D1BB0D0" w14:textId="77777777" w:rsidTr="001711DF">
        <w:trPr>
          <w:trHeight w:val="1069"/>
        </w:trPr>
        <w:tc>
          <w:tcPr>
            <w:tcW w:w="1560" w:type="dxa"/>
            <w:vMerge w:val="restart"/>
            <w:shd w:val="clear" w:color="auto" w:fill="DBC1E5"/>
          </w:tcPr>
          <w:p w14:paraId="2DA89A4A" w14:textId="77777777" w:rsidR="004F10D7" w:rsidRDefault="004F10D7" w:rsidP="004F10D7">
            <w:pPr>
              <w:jc w:val="both"/>
              <w:rPr>
                <w:b/>
              </w:rPr>
            </w:pPr>
            <w:r>
              <w:rPr>
                <w:b/>
              </w:rPr>
              <w:lastRenderedPageBreak/>
              <w:t xml:space="preserve"> 5. Exceptional OMU tasks</w:t>
            </w:r>
          </w:p>
        </w:tc>
        <w:tc>
          <w:tcPr>
            <w:tcW w:w="5387" w:type="dxa"/>
            <w:shd w:val="clear" w:color="auto" w:fill="DBC1E5"/>
          </w:tcPr>
          <w:p w14:paraId="3833D8AF" w14:textId="77777777" w:rsidR="00BC65B9" w:rsidRDefault="00BC65B9" w:rsidP="00BC65B9">
            <w:pPr>
              <w:rPr>
                <w:rFonts w:ascii="Calibri" w:hAnsi="Calibri" w:cs="Calibri"/>
              </w:rPr>
            </w:pPr>
            <w:r w:rsidRPr="00CF79F3">
              <w:rPr>
                <w:b/>
              </w:rPr>
              <w:t>5.</w:t>
            </w:r>
            <w:r>
              <w:rPr>
                <w:b/>
              </w:rPr>
              <w:t xml:space="preserve">1 </w:t>
            </w:r>
            <w:r>
              <w:rPr>
                <w:rFonts w:ascii="Calibri" w:hAnsi="Calibri" w:cs="Calibri"/>
              </w:rPr>
              <w:t xml:space="preserve">COVID – SPL: To coordinate the ROTL Board dossier, contribute to all relevant forms, update </w:t>
            </w:r>
            <w:r w:rsidR="00CF2AA2">
              <w:rPr>
                <w:rFonts w:ascii="Calibri" w:hAnsi="Calibri" w:cs="Calibri"/>
              </w:rPr>
              <w:t>Asset Plus</w:t>
            </w:r>
            <w:r>
              <w:rPr>
                <w:rFonts w:ascii="Calibri" w:hAnsi="Calibri" w:cs="Calibri"/>
              </w:rPr>
              <w:t>, lia</w:t>
            </w:r>
            <w:r w:rsidR="00CF2AA2">
              <w:rPr>
                <w:rFonts w:ascii="Calibri" w:hAnsi="Calibri" w:cs="Calibri"/>
              </w:rPr>
              <w:t>ise</w:t>
            </w:r>
            <w:r>
              <w:rPr>
                <w:rFonts w:ascii="Calibri" w:hAnsi="Calibri" w:cs="Calibri"/>
              </w:rPr>
              <w:t xml:space="preserve"> with </w:t>
            </w:r>
            <w:r w:rsidR="00CF2AA2">
              <w:rPr>
                <w:rFonts w:ascii="Calibri" w:hAnsi="Calibri" w:cs="Calibri"/>
              </w:rPr>
              <w:t>YOTs</w:t>
            </w:r>
            <w:r>
              <w:rPr>
                <w:rFonts w:ascii="Calibri" w:hAnsi="Calibri" w:cs="Calibri"/>
              </w:rPr>
              <w:t xml:space="preserve"> and VLO and undertake any enforcement action where necessary.</w:t>
            </w:r>
          </w:p>
          <w:p w14:paraId="380C7636" w14:textId="77777777" w:rsidR="004F10D7" w:rsidRPr="00CF79F3" w:rsidRDefault="004F10D7" w:rsidP="004F10D7">
            <w:pPr>
              <w:jc w:val="both"/>
            </w:pPr>
          </w:p>
        </w:tc>
        <w:tc>
          <w:tcPr>
            <w:tcW w:w="1156" w:type="dxa"/>
            <w:shd w:val="clear" w:color="auto" w:fill="DBC1E5"/>
          </w:tcPr>
          <w:p w14:paraId="511FB7C7" w14:textId="77777777" w:rsidR="004F10D7" w:rsidRPr="00C466E1" w:rsidRDefault="004E2679" w:rsidP="00C466E1">
            <w:pPr>
              <w:jc w:val="center"/>
              <w:rPr>
                <w:b/>
              </w:rPr>
            </w:pPr>
            <w:r w:rsidRPr="00C466E1">
              <w:rPr>
                <w:b/>
              </w:rPr>
              <w:t>3</w:t>
            </w:r>
          </w:p>
        </w:tc>
        <w:tc>
          <w:tcPr>
            <w:tcW w:w="1820" w:type="dxa"/>
            <w:shd w:val="clear" w:color="auto" w:fill="DBC1E5"/>
          </w:tcPr>
          <w:p w14:paraId="48DA360B" w14:textId="77777777" w:rsidR="004F10D7" w:rsidRDefault="00443669" w:rsidP="004F10D7">
            <w:pPr>
              <w:jc w:val="center"/>
              <w:rPr>
                <w:b/>
              </w:rPr>
            </w:pPr>
            <w:r>
              <w:rPr>
                <w:b/>
              </w:rPr>
              <w:t>Limited</w:t>
            </w:r>
          </w:p>
        </w:tc>
        <w:tc>
          <w:tcPr>
            <w:tcW w:w="4314" w:type="dxa"/>
            <w:shd w:val="clear" w:color="auto" w:fill="DBC1E5"/>
          </w:tcPr>
          <w:p w14:paraId="76581B49" w14:textId="77777777" w:rsidR="004F10D7" w:rsidRPr="00204534" w:rsidRDefault="00204534" w:rsidP="00BC65B9">
            <w:pPr>
              <w:rPr>
                <w:rFonts w:cstheme="minorHAnsi"/>
              </w:rPr>
            </w:pPr>
            <w:r w:rsidRPr="00204534">
              <w:rPr>
                <w:rFonts w:eastAsia="Times New Roman" w:cstheme="minorHAnsi"/>
                <w:lang w:eastAsia="en-GB"/>
              </w:rPr>
              <w:t>Exceptional Delivery Model for ECTR/ROTL and SPL ROTL</w:t>
            </w:r>
          </w:p>
        </w:tc>
      </w:tr>
      <w:tr w:rsidR="004F10D7" w14:paraId="545CE502" w14:textId="77777777" w:rsidTr="00CA7215">
        <w:trPr>
          <w:trHeight w:val="670"/>
        </w:trPr>
        <w:tc>
          <w:tcPr>
            <w:tcW w:w="1560" w:type="dxa"/>
            <w:vMerge/>
            <w:shd w:val="clear" w:color="auto" w:fill="DBC1E5"/>
          </w:tcPr>
          <w:p w14:paraId="1A5AE79E" w14:textId="77777777" w:rsidR="004F10D7" w:rsidRDefault="004F10D7" w:rsidP="004F10D7">
            <w:pPr>
              <w:jc w:val="both"/>
              <w:rPr>
                <w:b/>
              </w:rPr>
            </w:pPr>
          </w:p>
        </w:tc>
        <w:tc>
          <w:tcPr>
            <w:tcW w:w="5387" w:type="dxa"/>
            <w:shd w:val="clear" w:color="auto" w:fill="DBC1E5"/>
          </w:tcPr>
          <w:p w14:paraId="2C7459E3" w14:textId="77777777" w:rsidR="004F10D7" w:rsidRPr="00CF79F3" w:rsidRDefault="00BC65B9" w:rsidP="004F10D7">
            <w:pPr>
              <w:rPr>
                <w:b/>
              </w:rPr>
            </w:pPr>
            <w:r>
              <w:rPr>
                <w:b/>
              </w:rPr>
              <w:t xml:space="preserve">5.2 </w:t>
            </w:r>
            <w:r>
              <w:rPr>
                <w:rFonts w:ascii="Calibri" w:hAnsi="Calibri" w:cs="Calibri"/>
              </w:rPr>
              <w:t xml:space="preserve">COVID - ECTR: To support any release arrangements as defined in the </w:t>
            </w:r>
            <w:proofErr w:type="spellStart"/>
            <w:r>
              <w:rPr>
                <w:rFonts w:ascii="Calibri" w:hAnsi="Calibri" w:cs="Calibri"/>
              </w:rPr>
              <w:t>EQuiP</w:t>
            </w:r>
            <w:proofErr w:type="spellEnd"/>
            <w:r>
              <w:rPr>
                <w:rFonts w:ascii="Calibri" w:hAnsi="Calibri" w:cs="Calibri"/>
              </w:rPr>
              <w:t xml:space="preserve"> maps</w:t>
            </w:r>
          </w:p>
        </w:tc>
        <w:tc>
          <w:tcPr>
            <w:tcW w:w="1156" w:type="dxa"/>
            <w:shd w:val="clear" w:color="auto" w:fill="DBC1E5"/>
          </w:tcPr>
          <w:p w14:paraId="06A929DE" w14:textId="77777777" w:rsidR="004F10D7" w:rsidRPr="00C466E1" w:rsidRDefault="004E2679" w:rsidP="00C466E1">
            <w:pPr>
              <w:jc w:val="center"/>
              <w:rPr>
                <w:b/>
              </w:rPr>
            </w:pPr>
            <w:r w:rsidRPr="00C466E1">
              <w:rPr>
                <w:b/>
              </w:rPr>
              <w:t>3</w:t>
            </w:r>
          </w:p>
        </w:tc>
        <w:tc>
          <w:tcPr>
            <w:tcW w:w="1820" w:type="dxa"/>
            <w:shd w:val="clear" w:color="auto" w:fill="DBC1E5"/>
          </w:tcPr>
          <w:p w14:paraId="22B7D94E" w14:textId="77777777" w:rsidR="004F10D7" w:rsidRDefault="00443669" w:rsidP="004F10D7">
            <w:pPr>
              <w:jc w:val="center"/>
              <w:rPr>
                <w:b/>
              </w:rPr>
            </w:pPr>
            <w:r>
              <w:rPr>
                <w:b/>
              </w:rPr>
              <w:t>Limited</w:t>
            </w:r>
          </w:p>
        </w:tc>
        <w:tc>
          <w:tcPr>
            <w:tcW w:w="4314" w:type="dxa"/>
            <w:shd w:val="clear" w:color="auto" w:fill="DBC1E5"/>
          </w:tcPr>
          <w:p w14:paraId="02184CE6" w14:textId="77777777" w:rsidR="00204534" w:rsidRPr="00204534" w:rsidRDefault="00204534" w:rsidP="00034FC4">
            <w:pPr>
              <w:jc w:val="both"/>
              <w:rPr>
                <w:rFonts w:cstheme="minorHAnsi"/>
              </w:rPr>
            </w:pPr>
            <w:r w:rsidRPr="00204534">
              <w:rPr>
                <w:rFonts w:eastAsia="Times New Roman" w:cstheme="minorHAnsi"/>
                <w:lang w:eastAsia="en-GB"/>
              </w:rPr>
              <w:t>Exceptional Delivery Model for ECTR/ROTL and SPL ROTL</w:t>
            </w:r>
          </w:p>
          <w:p w14:paraId="794AB292" w14:textId="77777777" w:rsidR="00204534" w:rsidRDefault="00204534" w:rsidP="00034FC4">
            <w:pPr>
              <w:jc w:val="both"/>
            </w:pPr>
          </w:p>
          <w:p w14:paraId="41B192E3" w14:textId="77777777" w:rsidR="004F10D7" w:rsidRDefault="00177B61" w:rsidP="00034FC4">
            <w:hyperlink r:id="rId34" w:history="1">
              <w:r w:rsidR="00034FC4" w:rsidRPr="00713271">
                <w:rPr>
                  <w:rStyle w:val="Hyperlink"/>
                  <w:rFonts w:ascii="Calibri" w:hAnsi="Calibri" w:cs="Calibri"/>
                  <w:color w:val="auto"/>
                </w:rPr>
                <w:t>COVID19 ECTR</w:t>
              </w:r>
            </w:hyperlink>
          </w:p>
        </w:tc>
      </w:tr>
    </w:tbl>
    <w:p w14:paraId="0ACA4FB4" w14:textId="77777777" w:rsidR="005C5271" w:rsidRDefault="005C5271" w:rsidP="005C5271">
      <w:pPr>
        <w:rPr>
          <w:b/>
          <w:bCs/>
        </w:rPr>
      </w:pPr>
    </w:p>
    <w:p w14:paraId="0E6054EE" w14:textId="77777777" w:rsidR="00651F30" w:rsidRDefault="00651F30" w:rsidP="00343E17">
      <w:pPr>
        <w:jc w:val="both"/>
        <w:rPr>
          <w:rFonts w:cstheme="minorHAnsi"/>
          <w:b/>
        </w:rPr>
        <w:sectPr w:rsidR="00651F30" w:rsidSect="00480FD8">
          <w:pgSz w:w="16838" w:h="11906" w:orient="landscape"/>
          <w:pgMar w:top="1440" w:right="1440" w:bottom="1440" w:left="1440" w:header="709" w:footer="709" w:gutter="0"/>
          <w:cols w:space="708"/>
          <w:docGrid w:linePitch="360"/>
        </w:sectPr>
      </w:pPr>
    </w:p>
    <w:p w14:paraId="20A6EC34" w14:textId="77777777" w:rsidR="00031785" w:rsidRPr="00FB77C7" w:rsidRDefault="00031785" w:rsidP="00553F24">
      <w:pPr>
        <w:spacing w:before="240" w:line="240" w:lineRule="auto"/>
        <w:jc w:val="both"/>
        <w:rPr>
          <w:rFonts w:cstheme="minorHAnsi"/>
        </w:rPr>
      </w:pPr>
    </w:p>
    <w:sectPr w:rsidR="00031785" w:rsidRPr="00FB77C7" w:rsidSect="00480FD8">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62BC" w16cex:dateUtc="2020-06-29T11:53:00Z"/>
  <w16cex:commentExtensible w16cex:durableId="22A041DA" w16cex:dateUtc="2020-06-26T08:43:00Z"/>
  <w16cex:commentExtensible w16cex:durableId="22A059C4" w16cex:dateUtc="2020-06-26T09:38:00Z"/>
  <w16cex:commentExtensible w16cex:durableId="22A04C13" w16cex:dateUtc="2020-06-26T09:27:00Z"/>
  <w16cex:commentExtensible w16cex:durableId="22A04EF0" w16cex:dateUtc="2020-06-26T09:39:00Z"/>
  <w16cex:commentExtensible w16cex:durableId="22A04392" w16cex:dateUtc="2020-06-26T08:51:00Z"/>
  <w16cex:commentExtensible w16cex:durableId="229CCFF4" w16cex:dateUtc="2020-06-23T18:01:00Z"/>
  <w16cex:commentExtensible w16cex:durableId="22A324EF" w16cex:dateUtc="2020-06-28T13:17:00Z"/>
  <w16cex:commentExtensible w16cex:durableId="229CD022" w16cex:dateUtc="2020-06-23T18:01:00Z"/>
  <w16cex:commentExtensible w16cex:durableId="22A3259B" w16cex:dateUtc="2020-06-28T13:20:00Z"/>
  <w16cex:commentExtensible w16cex:durableId="22A04626" w16cex:dateUtc="2020-06-26T09:02:00Z"/>
  <w16cex:commentExtensible w16cex:durableId="22A046A7" w16cex:dateUtc="2020-06-26T09: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61DE0" w14:textId="77777777" w:rsidR="00787FF8" w:rsidRDefault="00787FF8" w:rsidP="00780C73">
      <w:pPr>
        <w:spacing w:after="0" w:line="240" w:lineRule="auto"/>
      </w:pPr>
      <w:r>
        <w:separator/>
      </w:r>
    </w:p>
  </w:endnote>
  <w:endnote w:type="continuationSeparator" w:id="0">
    <w:p w14:paraId="2BB4A1F4" w14:textId="77777777" w:rsidR="00787FF8" w:rsidRDefault="00787FF8" w:rsidP="00780C73">
      <w:pPr>
        <w:spacing w:after="0" w:line="240" w:lineRule="auto"/>
      </w:pPr>
      <w:r>
        <w:continuationSeparator/>
      </w:r>
    </w:p>
  </w:endnote>
  <w:endnote w:type="continuationNotice" w:id="1">
    <w:p w14:paraId="194DD016" w14:textId="77777777" w:rsidR="00787FF8" w:rsidRDefault="00787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0913" w14:textId="77777777" w:rsidR="006C55F0" w:rsidRDefault="006C5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2D1F" w14:textId="77777777" w:rsidR="006C55F0" w:rsidRDefault="006C5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79721" w14:textId="77777777" w:rsidR="00175092" w:rsidRDefault="00175092">
    <w:pPr>
      <w:pStyle w:val="Footer"/>
    </w:pPr>
    <w:r>
      <w:rPr>
        <w:noProof/>
        <w:lang w:eastAsia="en-GB"/>
      </w:rPr>
      <w:drawing>
        <wp:anchor distT="0" distB="1778" distL="114300" distR="114300" simplePos="0" relativeHeight="251659264" behindDoc="1" locked="1" layoutInCell="1" allowOverlap="1" wp14:anchorId="6601F2D4" wp14:editId="73CDA71F">
          <wp:simplePos x="0" y="0"/>
          <wp:positionH relativeFrom="page">
            <wp:align>left</wp:align>
          </wp:positionH>
          <wp:positionV relativeFrom="page">
            <wp:align>bottom</wp:align>
          </wp:positionV>
          <wp:extent cx="7560310" cy="2059432"/>
          <wp:effectExtent l="0" t="0" r="2540" b="0"/>
          <wp:wrapNone/>
          <wp:docPr id="5"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CAE2E" w14:textId="77777777" w:rsidR="00787FF8" w:rsidRDefault="00787FF8" w:rsidP="00780C73">
      <w:pPr>
        <w:spacing w:after="0" w:line="240" w:lineRule="auto"/>
      </w:pPr>
      <w:r>
        <w:separator/>
      </w:r>
    </w:p>
  </w:footnote>
  <w:footnote w:type="continuationSeparator" w:id="0">
    <w:p w14:paraId="1FE3D62D" w14:textId="77777777" w:rsidR="00787FF8" w:rsidRDefault="00787FF8" w:rsidP="00780C73">
      <w:pPr>
        <w:spacing w:after="0" w:line="240" w:lineRule="auto"/>
      </w:pPr>
      <w:r>
        <w:continuationSeparator/>
      </w:r>
    </w:p>
  </w:footnote>
  <w:footnote w:type="continuationNotice" w:id="1">
    <w:p w14:paraId="418C6DA7" w14:textId="77777777" w:rsidR="00787FF8" w:rsidRDefault="00787F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DF6A" w14:textId="77777777" w:rsidR="006C55F0" w:rsidRDefault="006C5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95C72" w14:textId="77777777" w:rsidR="006C55F0" w:rsidRDefault="006C5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08D7" w14:textId="77777777" w:rsidR="00175092" w:rsidRDefault="00175092">
    <w:pPr>
      <w:pStyle w:val="Header"/>
    </w:pPr>
    <w:r>
      <w:rPr>
        <w:noProof/>
        <w:lang w:eastAsia="en-GB"/>
      </w:rPr>
      <w:drawing>
        <wp:anchor distT="0" distB="0" distL="114300" distR="114300" simplePos="0" relativeHeight="251660288" behindDoc="1" locked="1" layoutInCell="1" allowOverlap="1" wp14:anchorId="5FD49EC1" wp14:editId="7ADB3C0F">
          <wp:simplePos x="0" y="0"/>
          <wp:positionH relativeFrom="page">
            <wp:align>left</wp:align>
          </wp:positionH>
          <wp:positionV relativeFrom="page">
            <wp:posOffset>1864995</wp:posOffset>
          </wp:positionV>
          <wp:extent cx="7560310" cy="6851015"/>
          <wp:effectExtent l="0" t="0" r="2540" b="0"/>
          <wp:wrapNone/>
          <wp:docPr id="8"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1" layoutInCell="1" allowOverlap="1" wp14:anchorId="479C0582" wp14:editId="478C2205">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7"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304"/>
    <w:multiLevelType w:val="hybridMultilevel"/>
    <w:tmpl w:val="C40E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D4297"/>
    <w:multiLevelType w:val="hybridMultilevel"/>
    <w:tmpl w:val="E9B69584"/>
    <w:lvl w:ilvl="0" w:tplc="4D261B9E">
      <w:start w:val="1"/>
      <w:numFmt w:val="decimalZero"/>
      <w:lvlText w:val="%1."/>
      <w:lvlJc w:val="left"/>
      <w:pPr>
        <w:ind w:left="750" w:hanging="7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FF33D5"/>
    <w:multiLevelType w:val="hybridMultilevel"/>
    <w:tmpl w:val="1580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84BA9"/>
    <w:multiLevelType w:val="hybridMultilevel"/>
    <w:tmpl w:val="BDC820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D0B3D"/>
    <w:multiLevelType w:val="hybridMultilevel"/>
    <w:tmpl w:val="DBFE2CBC"/>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5" w15:restartNumberingAfterBreak="0">
    <w:nsid w:val="0D3E22B1"/>
    <w:multiLevelType w:val="hybridMultilevel"/>
    <w:tmpl w:val="D6B21958"/>
    <w:lvl w:ilvl="0" w:tplc="5CBAA7F0">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4C5AD6"/>
    <w:multiLevelType w:val="multilevel"/>
    <w:tmpl w:val="1AA6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22197"/>
    <w:multiLevelType w:val="hybridMultilevel"/>
    <w:tmpl w:val="A8D0A87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3136CFD"/>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295BDD"/>
    <w:multiLevelType w:val="multilevel"/>
    <w:tmpl w:val="F54059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0A687A"/>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2A5791"/>
    <w:multiLevelType w:val="hybridMultilevel"/>
    <w:tmpl w:val="4C8E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C5AE1"/>
    <w:multiLevelType w:val="hybridMultilevel"/>
    <w:tmpl w:val="C4904D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124E12"/>
    <w:multiLevelType w:val="hybridMultilevel"/>
    <w:tmpl w:val="6352BA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B6258"/>
    <w:multiLevelType w:val="hybridMultilevel"/>
    <w:tmpl w:val="137E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D62217"/>
    <w:multiLevelType w:val="hybridMultilevel"/>
    <w:tmpl w:val="BFC68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8D2F88"/>
    <w:multiLevelType w:val="hybridMultilevel"/>
    <w:tmpl w:val="7910F69A"/>
    <w:lvl w:ilvl="0" w:tplc="DCB253A0">
      <w:start w:val="1"/>
      <w:numFmt w:val="decimalZero"/>
      <w:lvlText w:val="%1."/>
      <w:lvlJc w:val="left"/>
      <w:pPr>
        <w:ind w:left="1410" w:hanging="10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895ABF"/>
    <w:multiLevelType w:val="hybridMultilevel"/>
    <w:tmpl w:val="CCFC6F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A2C649C"/>
    <w:multiLevelType w:val="hybridMultilevel"/>
    <w:tmpl w:val="1CFA0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CA70E03"/>
    <w:multiLevelType w:val="hybridMultilevel"/>
    <w:tmpl w:val="8E94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B1B9C"/>
    <w:multiLevelType w:val="hybridMultilevel"/>
    <w:tmpl w:val="4CA00CB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4E4849"/>
    <w:multiLevelType w:val="hybridMultilevel"/>
    <w:tmpl w:val="4E4E8B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634E91"/>
    <w:multiLevelType w:val="multilevel"/>
    <w:tmpl w:val="AAAA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5471E6"/>
    <w:multiLevelType w:val="hybridMultilevel"/>
    <w:tmpl w:val="A8962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DC3305"/>
    <w:multiLevelType w:val="hybridMultilevel"/>
    <w:tmpl w:val="F5903982"/>
    <w:lvl w:ilvl="0" w:tplc="2810413C">
      <w:numFmt w:val="bullet"/>
      <w:lvlText w:val="-"/>
      <w:lvlJc w:val="left"/>
      <w:pPr>
        <w:ind w:left="2204" w:hanging="360"/>
      </w:pPr>
      <w:rPr>
        <w:rFonts w:ascii="Calibri" w:eastAsiaTheme="minorHAnsi" w:hAnsi="Calibri" w:cs="Calibri"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5" w15:restartNumberingAfterBreak="0">
    <w:nsid w:val="54AF7A99"/>
    <w:multiLevelType w:val="hybridMultilevel"/>
    <w:tmpl w:val="136A0A40"/>
    <w:lvl w:ilvl="0" w:tplc="281041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F122A"/>
    <w:multiLevelType w:val="hybridMultilevel"/>
    <w:tmpl w:val="8634DCB0"/>
    <w:lvl w:ilvl="0" w:tplc="B54476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E5A69"/>
    <w:multiLevelType w:val="hybridMultilevel"/>
    <w:tmpl w:val="6FB86370"/>
    <w:lvl w:ilvl="0" w:tplc="281041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6E0907"/>
    <w:multiLevelType w:val="hybridMultilevel"/>
    <w:tmpl w:val="1AE05814"/>
    <w:lvl w:ilvl="0" w:tplc="281041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C27E25"/>
    <w:multiLevelType w:val="multilevel"/>
    <w:tmpl w:val="508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7437C2"/>
    <w:multiLevelType w:val="hybridMultilevel"/>
    <w:tmpl w:val="7BDA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D96F60"/>
    <w:multiLevelType w:val="hybridMultilevel"/>
    <w:tmpl w:val="41B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F97F5D"/>
    <w:multiLevelType w:val="hybridMultilevel"/>
    <w:tmpl w:val="EADC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235F5A"/>
    <w:multiLevelType w:val="hybridMultilevel"/>
    <w:tmpl w:val="5148B15C"/>
    <w:lvl w:ilvl="0" w:tplc="CBB21BCC">
      <w:start w:val="1"/>
      <w:numFmt w:val="decimal"/>
      <w:lvlText w:val="%1."/>
      <w:lvlJc w:val="left"/>
      <w:pPr>
        <w:ind w:left="360" w:hanging="360"/>
      </w:pPr>
      <w:rPr>
        <w:rFonts w:ascii="Arial" w:hAnsi="Arial" w:cs="Arial" w:hint="default"/>
        <w:b w:val="0"/>
        <w:sz w:val="22"/>
        <w:szCs w:val="22"/>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D23815"/>
    <w:multiLevelType w:val="hybridMultilevel"/>
    <w:tmpl w:val="2E6A103A"/>
    <w:lvl w:ilvl="0" w:tplc="CC3A6B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60502C"/>
    <w:multiLevelType w:val="multilevel"/>
    <w:tmpl w:val="DD28EF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E14531"/>
    <w:multiLevelType w:val="hybridMultilevel"/>
    <w:tmpl w:val="13EE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F54A8"/>
    <w:multiLevelType w:val="hybridMultilevel"/>
    <w:tmpl w:val="D8EEA4A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6"/>
  </w:num>
  <w:num w:numId="3">
    <w:abstractNumId w:val="29"/>
  </w:num>
  <w:num w:numId="4">
    <w:abstractNumId w:val="20"/>
  </w:num>
  <w:num w:numId="5">
    <w:abstractNumId w:val="12"/>
  </w:num>
  <w:num w:numId="6">
    <w:abstractNumId w:val="34"/>
  </w:num>
  <w:num w:numId="7">
    <w:abstractNumId w:val="5"/>
  </w:num>
  <w:num w:numId="8">
    <w:abstractNumId w:val="33"/>
  </w:num>
  <w:num w:numId="9">
    <w:abstractNumId w:val="13"/>
  </w:num>
  <w:num w:numId="10">
    <w:abstractNumId w:val="7"/>
  </w:num>
  <w:num w:numId="11">
    <w:abstractNumId w:val="10"/>
  </w:num>
  <w:num w:numId="12">
    <w:abstractNumId w:val="8"/>
  </w:num>
  <w:num w:numId="13">
    <w:abstractNumId w:val="15"/>
  </w:num>
  <w:num w:numId="14">
    <w:abstractNumId w:val="35"/>
  </w:num>
  <w:num w:numId="15">
    <w:abstractNumId w:val="9"/>
  </w:num>
  <w:num w:numId="16">
    <w:abstractNumId w:val="23"/>
  </w:num>
  <w:num w:numId="17">
    <w:abstractNumId w:val="37"/>
  </w:num>
  <w:num w:numId="18">
    <w:abstractNumId w:val="21"/>
  </w:num>
  <w:num w:numId="19">
    <w:abstractNumId w:val="11"/>
  </w:num>
  <w:num w:numId="20">
    <w:abstractNumId w:val="19"/>
  </w:num>
  <w:num w:numId="21">
    <w:abstractNumId w:val="16"/>
  </w:num>
  <w:num w:numId="22">
    <w:abstractNumId w:val="1"/>
  </w:num>
  <w:num w:numId="23">
    <w:abstractNumId w:val="4"/>
  </w:num>
  <w:num w:numId="24">
    <w:abstractNumId w:val="24"/>
  </w:num>
  <w:num w:numId="25">
    <w:abstractNumId w:val="25"/>
  </w:num>
  <w:num w:numId="26">
    <w:abstractNumId w:val="28"/>
  </w:num>
  <w:num w:numId="27">
    <w:abstractNumId w:val="27"/>
  </w:num>
  <w:num w:numId="28">
    <w:abstractNumId w:val="26"/>
  </w:num>
  <w:num w:numId="29">
    <w:abstractNumId w:val="31"/>
  </w:num>
  <w:num w:numId="30">
    <w:abstractNumId w:val="30"/>
  </w:num>
  <w:num w:numId="31">
    <w:abstractNumId w:val="36"/>
  </w:num>
  <w:num w:numId="32">
    <w:abstractNumId w:val="2"/>
  </w:num>
  <w:num w:numId="33">
    <w:abstractNumId w:val="32"/>
  </w:num>
  <w:num w:numId="34">
    <w:abstractNumId w:val="0"/>
  </w:num>
  <w:num w:numId="35">
    <w:abstractNumId w:val="14"/>
  </w:num>
  <w:num w:numId="36">
    <w:abstractNumId w:val="3"/>
  </w:num>
  <w:num w:numId="37">
    <w:abstractNumId w:val="1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EB"/>
    <w:rsid w:val="00003E05"/>
    <w:rsid w:val="00003E44"/>
    <w:rsid w:val="0000579C"/>
    <w:rsid w:val="00006404"/>
    <w:rsid w:val="00010ED9"/>
    <w:rsid w:val="00016AD4"/>
    <w:rsid w:val="000170D2"/>
    <w:rsid w:val="0002737D"/>
    <w:rsid w:val="00031785"/>
    <w:rsid w:val="0003406D"/>
    <w:rsid w:val="000347EA"/>
    <w:rsid w:val="00034FC4"/>
    <w:rsid w:val="00047C87"/>
    <w:rsid w:val="00051EAD"/>
    <w:rsid w:val="000565FC"/>
    <w:rsid w:val="000578FF"/>
    <w:rsid w:val="0006085C"/>
    <w:rsid w:val="00070B74"/>
    <w:rsid w:val="00076FB6"/>
    <w:rsid w:val="000804B1"/>
    <w:rsid w:val="00094A4E"/>
    <w:rsid w:val="00095C33"/>
    <w:rsid w:val="00097D43"/>
    <w:rsid w:val="000A0320"/>
    <w:rsid w:val="000A4796"/>
    <w:rsid w:val="000B643F"/>
    <w:rsid w:val="000E7213"/>
    <w:rsid w:val="000F2293"/>
    <w:rsid w:val="000F778F"/>
    <w:rsid w:val="00107323"/>
    <w:rsid w:val="00111A35"/>
    <w:rsid w:val="00112560"/>
    <w:rsid w:val="0011417F"/>
    <w:rsid w:val="001236AF"/>
    <w:rsid w:val="001238FF"/>
    <w:rsid w:val="0012661F"/>
    <w:rsid w:val="00133C7A"/>
    <w:rsid w:val="00144954"/>
    <w:rsid w:val="001451E9"/>
    <w:rsid w:val="00165857"/>
    <w:rsid w:val="001711DF"/>
    <w:rsid w:val="00174E1E"/>
    <w:rsid w:val="00175092"/>
    <w:rsid w:val="00177B61"/>
    <w:rsid w:val="001808F1"/>
    <w:rsid w:val="00180F1A"/>
    <w:rsid w:val="00181356"/>
    <w:rsid w:val="0018364B"/>
    <w:rsid w:val="001842C3"/>
    <w:rsid w:val="00190867"/>
    <w:rsid w:val="00193278"/>
    <w:rsid w:val="001A0BE0"/>
    <w:rsid w:val="001B4F94"/>
    <w:rsid w:val="001B5C73"/>
    <w:rsid w:val="001C1DED"/>
    <w:rsid w:val="001C1F52"/>
    <w:rsid w:val="001C40E2"/>
    <w:rsid w:val="001D7859"/>
    <w:rsid w:val="001E654B"/>
    <w:rsid w:val="001F4B2C"/>
    <w:rsid w:val="001F60F3"/>
    <w:rsid w:val="00204534"/>
    <w:rsid w:val="002114FB"/>
    <w:rsid w:val="0021206D"/>
    <w:rsid w:val="00217798"/>
    <w:rsid w:val="00220E9D"/>
    <w:rsid w:val="0023065C"/>
    <w:rsid w:val="00242FD9"/>
    <w:rsid w:val="00245BD7"/>
    <w:rsid w:val="00274ADB"/>
    <w:rsid w:val="00275DE8"/>
    <w:rsid w:val="002800C2"/>
    <w:rsid w:val="00280ACB"/>
    <w:rsid w:val="00280C87"/>
    <w:rsid w:val="00285549"/>
    <w:rsid w:val="0028731E"/>
    <w:rsid w:val="002930D1"/>
    <w:rsid w:val="002A058F"/>
    <w:rsid w:val="002A13C4"/>
    <w:rsid w:val="002A34B3"/>
    <w:rsid w:val="002C55A9"/>
    <w:rsid w:val="002C7260"/>
    <w:rsid w:val="002D1A14"/>
    <w:rsid w:val="002D34AC"/>
    <w:rsid w:val="002E2A59"/>
    <w:rsid w:val="002E6775"/>
    <w:rsid w:val="002E690F"/>
    <w:rsid w:val="002F5387"/>
    <w:rsid w:val="002F5A37"/>
    <w:rsid w:val="00303A2C"/>
    <w:rsid w:val="003057B7"/>
    <w:rsid w:val="00305D7B"/>
    <w:rsid w:val="0030699B"/>
    <w:rsid w:val="00315384"/>
    <w:rsid w:val="00327276"/>
    <w:rsid w:val="00333274"/>
    <w:rsid w:val="00343E17"/>
    <w:rsid w:val="00354CDF"/>
    <w:rsid w:val="0038424D"/>
    <w:rsid w:val="00385BE2"/>
    <w:rsid w:val="0038619C"/>
    <w:rsid w:val="003958C8"/>
    <w:rsid w:val="003A1A93"/>
    <w:rsid w:val="003A4C43"/>
    <w:rsid w:val="003A581D"/>
    <w:rsid w:val="003A7FB6"/>
    <w:rsid w:val="003B093C"/>
    <w:rsid w:val="003B1B3F"/>
    <w:rsid w:val="003C4646"/>
    <w:rsid w:val="003C67C2"/>
    <w:rsid w:val="003D2258"/>
    <w:rsid w:val="003E5B2F"/>
    <w:rsid w:val="0040034C"/>
    <w:rsid w:val="004012DC"/>
    <w:rsid w:val="00403FC4"/>
    <w:rsid w:val="004044F2"/>
    <w:rsid w:val="0040521D"/>
    <w:rsid w:val="00423E94"/>
    <w:rsid w:val="00424FF1"/>
    <w:rsid w:val="00426EE8"/>
    <w:rsid w:val="004358AF"/>
    <w:rsid w:val="00435AC2"/>
    <w:rsid w:val="004419F5"/>
    <w:rsid w:val="00443669"/>
    <w:rsid w:val="004508EB"/>
    <w:rsid w:val="00454472"/>
    <w:rsid w:val="00467D4B"/>
    <w:rsid w:val="00480FD8"/>
    <w:rsid w:val="00485598"/>
    <w:rsid w:val="0049611F"/>
    <w:rsid w:val="004A3B90"/>
    <w:rsid w:val="004A4BAA"/>
    <w:rsid w:val="004A5C31"/>
    <w:rsid w:val="004A7200"/>
    <w:rsid w:val="004A744E"/>
    <w:rsid w:val="004B1D78"/>
    <w:rsid w:val="004B2F57"/>
    <w:rsid w:val="004C3F06"/>
    <w:rsid w:val="004D2C93"/>
    <w:rsid w:val="004D3CA0"/>
    <w:rsid w:val="004D5880"/>
    <w:rsid w:val="004E2679"/>
    <w:rsid w:val="004F0988"/>
    <w:rsid w:val="004F10D7"/>
    <w:rsid w:val="004F7F86"/>
    <w:rsid w:val="0050619A"/>
    <w:rsid w:val="005151FA"/>
    <w:rsid w:val="0052016F"/>
    <w:rsid w:val="0052622A"/>
    <w:rsid w:val="005262AF"/>
    <w:rsid w:val="005276DE"/>
    <w:rsid w:val="005360A6"/>
    <w:rsid w:val="00541135"/>
    <w:rsid w:val="005465C3"/>
    <w:rsid w:val="00553F24"/>
    <w:rsid w:val="00555C35"/>
    <w:rsid w:val="00557B1B"/>
    <w:rsid w:val="00560204"/>
    <w:rsid w:val="00564F74"/>
    <w:rsid w:val="00566D52"/>
    <w:rsid w:val="00567968"/>
    <w:rsid w:val="005768FD"/>
    <w:rsid w:val="00592D32"/>
    <w:rsid w:val="00593E2B"/>
    <w:rsid w:val="0059449D"/>
    <w:rsid w:val="00596FB0"/>
    <w:rsid w:val="005A209C"/>
    <w:rsid w:val="005B2C88"/>
    <w:rsid w:val="005B43EB"/>
    <w:rsid w:val="005B67C8"/>
    <w:rsid w:val="005C070C"/>
    <w:rsid w:val="005C50E4"/>
    <w:rsid w:val="005C5271"/>
    <w:rsid w:val="005C7ADF"/>
    <w:rsid w:val="005D0DB5"/>
    <w:rsid w:val="005D5BFC"/>
    <w:rsid w:val="005E087F"/>
    <w:rsid w:val="005E3DB1"/>
    <w:rsid w:val="005E49D1"/>
    <w:rsid w:val="005F4F70"/>
    <w:rsid w:val="00601134"/>
    <w:rsid w:val="0061493A"/>
    <w:rsid w:val="006405A3"/>
    <w:rsid w:val="006411C8"/>
    <w:rsid w:val="00641785"/>
    <w:rsid w:val="00644AF3"/>
    <w:rsid w:val="00644C18"/>
    <w:rsid w:val="00651F30"/>
    <w:rsid w:val="00661B7B"/>
    <w:rsid w:val="006745DE"/>
    <w:rsid w:val="00674C7D"/>
    <w:rsid w:val="006928BB"/>
    <w:rsid w:val="006A188D"/>
    <w:rsid w:val="006A2BF7"/>
    <w:rsid w:val="006A2E1E"/>
    <w:rsid w:val="006A7F49"/>
    <w:rsid w:val="006B0D53"/>
    <w:rsid w:val="006B4969"/>
    <w:rsid w:val="006B63A7"/>
    <w:rsid w:val="006C0D59"/>
    <w:rsid w:val="006C38DD"/>
    <w:rsid w:val="006C55F0"/>
    <w:rsid w:val="006D5998"/>
    <w:rsid w:val="006E1404"/>
    <w:rsid w:val="006E6233"/>
    <w:rsid w:val="006E6C8F"/>
    <w:rsid w:val="00701B3D"/>
    <w:rsid w:val="007033C5"/>
    <w:rsid w:val="00710434"/>
    <w:rsid w:val="0071265A"/>
    <w:rsid w:val="00713271"/>
    <w:rsid w:val="00713386"/>
    <w:rsid w:val="00714593"/>
    <w:rsid w:val="00717ACD"/>
    <w:rsid w:val="00724564"/>
    <w:rsid w:val="007246FC"/>
    <w:rsid w:val="00731533"/>
    <w:rsid w:val="00734F84"/>
    <w:rsid w:val="007409A7"/>
    <w:rsid w:val="00744B95"/>
    <w:rsid w:val="0074507C"/>
    <w:rsid w:val="0075300D"/>
    <w:rsid w:val="00761EA5"/>
    <w:rsid w:val="007635E8"/>
    <w:rsid w:val="007712E3"/>
    <w:rsid w:val="00771B79"/>
    <w:rsid w:val="00774CED"/>
    <w:rsid w:val="00776D89"/>
    <w:rsid w:val="00777258"/>
    <w:rsid w:val="00780C73"/>
    <w:rsid w:val="0078420F"/>
    <w:rsid w:val="00787FF8"/>
    <w:rsid w:val="007928BA"/>
    <w:rsid w:val="007A00B1"/>
    <w:rsid w:val="007B1134"/>
    <w:rsid w:val="007B79A7"/>
    <w:rsid w:val="007C73D2"/>
    <w:rsid w:val="007C7E9D"/>
    <w:rsid w:val="007D63FD"/>
    <w:rsid w:val="007E056D"/>
    <w:rsid w:val="007F413A"/>
    <w:rsid w:val="00801F35"/>
    <w:rsid w:val="00804869"/>
    <w:rsid w:val="00804FAC"/>
    <w:rsid w:val="00805B9A"/>
    <w:rsid w:val="008115A2"/>
    <w:rsid w:val="0081261A"/>
    <w:rsid w:val="008129A0"/>
    <w:rsid w:val="00823EA5"/>
    <w:rsid w:val="00832554"/>
    <w:rsid w:val="00845F1A"/>
    <w:rsid w:val="0085414D"/>
    <w:rsid w:val="00857DEF"/>
    <w:rsid w:val="0086412B"/>
    <w:rsid w:val="00865309"/>
    <w:rsid w:val="008716F1"/>
    <w:rsid w:val="008766BA"/>
    <w:rsid w:val="00880EC8"/>
    <w:rsid w:val="00882F57"/>
    <w:rsid w:val="008839EF"/>
    <w:rsid w:val="00886DC5"/>
    <w:rsid w:val="008904CD"/>
    <w:rsid w:val="00894AFE"/>
    <w:rsid w:val="00894ED4"/>
    <w:rsid w:val="0089687D"/>
    <w:rsid w:val="008A3ACB"/>
    <w:rsid w:val="008B14ED"/>
    <w:rsid w:val="008B3EE4"/>
    <w:rsid w:val="008C0E63"/>
    <w:rsid w:val="008D4DD3"/>
    <w:rsid w:val="008D6F87"/>
    <w:rsid w:val="008E5EF0"/>
    <w:rsid w:val="008F1411"/>
    <w:rsid w:val="008F7135"/>
    <w:rsid w:val="00902DF8"/>
    <w:rsid w:val="00914ACC"/>
    <w:rsid w:val="0093255A"/>
    <w:rsid w:val="00954BB6"/>
    <w:rsid w:val="00956313"/>
    <w:rsid w:val="0096011E"/>
    <w:rsid w:val="00971D81"/>
    <w:rsid w:val="00973E52"/>
    <w:rsid w:val="0097422C"/>
    <w:rsid w:val="00985CC7"/>
    <w:rsid w:val="009870C8"/>
    <w:rsid w:val="00990252"/>
    <w:rsid w:val="00993DFF"/>
    <w:rsid w:val="009A0EA0"/>
    <w:rsid w:val="009A3C92"/>
    <w:rsid w:val="009C3FD8"/>
    <w:rsid w:val="009C4186"/>
    <w:rsid w:val="009C4198"/>
    <w:rsid w:val="009D4521"/>
    <w:rsid w:val="009E0F99"/>
    <w:rsid w:val="009E5E38"/>
    <w:rsid w:val="009F0E0F"/>
    <w:rsid w:val="009F7C72"/>
    <w:rsid w:val="00A11321"/>
    <w:rsid w:val="00A20CF4"/>
    <w:rsid w:val="00A30F0B"/>
    <w:rsid w:val="00A34D97"/>
    <w:rsid w:val="00A4552F"/>
    <w:rsid w:val="00A52824"/>
    <w:rsid w:val="00A55D0A"/>
    <w:rsid w:val="00A624CE"/>
    <w:rsid w:val="00A643E6"/>
    <w:rsid w:val="00A75C1E"/>
    <w:rsid w:val="00A764DE"/>
    <w:rsid w:val="00A772E2"/>
    <w:rsid w:val="00A77DAC"/>
    <w:rsid w:val="00A801A5"/>
    <w:rsid w:val="00A808EC"/>
    <w:rsid w:val="00A80F00"/>
    <w:rsid w:val="00A81117"/>
    <w:rsid w:val="00A85233"/>
    <w:rsid w:val="00A90CB2"/>
    <w:rsid w:val="00A93624"/>
    <w:rsid w:val="00A94DF6"/>
    <w:rsid w:val="00AB2CE8"/>
    <w:rsid w:val="00AD083D"/>
    <w:rsid w:val="00AE284E"/>
    <w:rsid w:val="00AF27E4"/>
    <w:rsid w:val="00AF614E"/>
    <w:rsid w:val="00B0106B"/>
    <w:rsid w:val="00B03E60"/>
    <w:rsid w:val="00B1121A"/>
    <w:rsid w:val="00B12D73"/>
    <w:rsid w:val="00B1561C"/>
    <w:rsid w:val="00B205E4"/>
    <w:rsid w:val="00B22212"/>
    <w:rsid w:val="00B30156"/>
    <w:rsid w:val="00B36A08"/>
    <w:rsid w:val="00B66D48"/>
    <w:rsid w:val="00B74A9D"/>
    <w:rsid w:val="00B756EF"/>
    <w:rsid w:val="00B77E6A"/>
    <w:rsid w:val="00B806C3"/>
    <w:rsid w:val="00B85E4A"/>
    <w:rsid w:val="00B860AE"/>
    <w:rsid w:val="00B92EDA"/>
    <w:rsid w:val="00B9485D"/>
    <w:rsid w:val="00B95C89"/>
    <w:rsid w:val="00BA0699"/>
    <w:rsid w:val="00BB3CD3"/>
    <w:rsid w:val="00BB7AE6"/>
    <w:rsid w:val="00BC10EA"/>
    <w:rsid w:val="00BC4017"/>
    <w:rsid w:val="00BC50D7"/>
    <w:rsid w:val="00BC5317"/>
    <w:rsid w:val="00BC541C"/>
    <w:rsid w:val="00BC65B9"/>
    <w:rsid w:val="00BE0D00"/>
    <w:rsid w:val="00BE4118"/>
    <w:rsid w:val="00BE7A04"/>
    <w:rsid w:val="00BF60F9"/>
    <w:rsid w:val="00C0083A"/>
    <w:rsid w:val="00C03D4F"/>
    <w:rsid w:val="00C059EB"/>
    <w:rsid w:val="00C06D2F"/>
    <w:rsid w:val="00C134FA"/>
    <w:rsid w:val="00C21231"/>
    <w:rsid w:val="00C21DC2"/>
    <w:rsid w:val="00C2431C"/>
    <w:rsid w:val="00C3206C"/>
    <w:rsid w:val="00C32134"/>
    <w:rsid w:val="00C447AD"/>
    <w:rsid w:val="00C466E1"/>
    <w:rsid w:val="00C52AD7"/>
    <w:rsid w:val="00C56999"/>
    <w:rsid w:val="00C70A80"/>
    <w:rsid w:val="00C71DAA"/>
    <w:rsid w:val="00C72F35"/>
    <w:rsid w:val="00C73C04"/>
    <w:rsid w:val="00C772E4"/>
    <w:rsid w:val="00C819EB"/>
    <w:rsid w:val="00C8632F"/>
    <w:rsid w:val="00C87BBC"/>
    <w:rsid w:val="00C96CDD"/>
    <w:rsid w:val="00CA18F1"/>
    <w:rsid w:val="00CA1AB6"/>
    <w:rsid w:val="00CA1DD2"/>
    <w:rsid w:val="00CA5875"/>
    <w:rsid w:val="00CA5895"/>
    <w:rsid w:val="00CA67B9"/>
    <w:rsid w:val="00CA7215"/>
    <w:rsid w:val="00CB5A28"/>
    <w:rsid w:val="00CC20F8"/>
    <w:rsid w:val="00CC3E9E"/>
    <w:rsid w:val="00CC4EA7"/>
    <w:rsid w:val="00CD0D5C"/>
    <w:rsid w:val="00CE0594"/>
    <w:rsid w:val="00CE0C00"/>
    <w:rsid w:val="00CE3709"/>
    <w:rsid w:val="00CE5966"/>
    <w:rsid w:val="00CE6124"/>
    <w:rsid w:val="00CE6782"/>
    <w:rsid w:val="00CF0B61"/>
    <w:rsid w:val="00CF2AA2"/>
    <w:rsid w:val="00CF557C"/>
    <w:rsid w:val="00CF5CC1"/>
    <w:rsid w:val="00CF79F3"/>
    <w:rsid w:val="00D01543"/>
    <w:rsid w:val="00D030BA"/>
    <w:rsid w:val="00D05062"/>
    <w:rsid w:val="00D05A32"/>
    <w:rsid w:val="00D0659B"/>
    <w:rsid w:val="00D07193"/>
    <w:rsid w:val="00D075B4"/>
    <w:rsid w:val="00D1164E"/>
    <w:rsid w:val="00D11ECD"/>
    <w:rsid w:val="00D16FCD"/>
    <w:rsid w:val="00D2183C"/>
    <w:rsid w:val="00D23BC9"/>
    <w:rsid w:val="00D31BD8"/>
    <w:rsid w:val="00D3200B"/>
    <w:rsid w:val="00D414AB"/>
    <w:rsid w:val="00D41F29"/>
    <w:rsid w:val="00D47FF7"/>
    <w:rsid w:val="00D60E51"/>
    <w:rsid w:val="00D651DA"/>
    <w:rsid w:val="00D7743D"/>
    <w:rsid w:val="00D77B1D"/>
    <w:rsid w:val="00D90784"/>
    <w:rsid w:val="00DA35DB"/>
    <w:rsid w:val="00DA6105"/>
    <w:rsid w:val="00DB3A05"/>
    <w:rsid w:val="00DC1398"/>
    <w:rsid w:val="00DD08D9"/>
    <w:rsid w:val="00DD1E12"/>
    <w:rsid w:val="00DD26A1"/>
    <w:rsid w:val="00DF0B37"/>
    <w:rsid w:val="00E0045A"/>
    <w:rsid w:val="00E10141"/>
    <w:rsid w:val="00E1066C"/>
    <w:rsid w:val="00E13965"/>
    <w:rsid w:val="00E406A4"/>
    <w:rsid w:val="00E4345E"/>
    <w:rsid w:val="00E47015"/>
    <w:rsid w:val="00E50522"/>
    <w:rsid w:val="00E50E67"/>
    <w:rsid w:val="00E60128"/>
    <w:rsid w:val="00E642DC"/>
    <w:rsid w:val="00E815C4"/>
    <w:rsid w:val="00E81DC9"/>
    <w:rsid w:val="00E85AF1"/>
    <w:rsid w:val="00E91302"/>
    <w:rsid w:val="00E915B0"/>
    <w:rsid w:val="00EA089E"/>
    <w:rsid w:val="00EA106C"/>
    <w:rsid w:val="00EA577A"/>
    <w:rsid w:val="00EA6697"/>
    <w:rsid w:val="00EB50DD"/>
    <w:rsid w:val="00EB5EDE"/>
    <w:rsid w:val="00EB77FD"/>
    <w:rsid w:val="00EC4A0E"/>
    <w:rsid w:val="00EC7C81"/>
    <w:rsid w:val="00ED7001"/>
    <w:rsid w:val="00EF263C"/>
    <w:rsid w:val="00EF6215"/>
    <w:rsid w:val="00EF734A"/>
    <w:rsid w:val="00F15391"/>
    <w:rsid w:val="00F2044C"/>
    <w:rsid w:val="00F30D16"/>
    <w:rsid w:val="00F37B39"/>
    <w:rsid w:val="00F37C19"/>
    <w:rsid w:val="00F41F32"/>
    <w:rsid w:val="00F42F2D"/>
    <w:rsid w:val="00F47ABF"/>
    <w:rsid w:val="00F53E1E"/>
    <w:rsid w:val="00F550F7"/>
    <w:rsid w:val="00F648AC"/>
    <w:rsid w:val="00F75983"/>
    <w:rsid w:val="00F76A7A"/>
    <w:rsid w:val="00F90208"/>
    <w:rsid w:val="00F90C5D"/>
    <w:rsid w:val="00F958C9"/>
    <w:rsid w:val="00FA7249"/>
    <w:rsid w:val="00FB77C7"/>
    <w:rsid w:val="00FC1E0E"/>
    <w:rsid w:val="00FC6233"/>
    <w:rsid w:val="00FD37A4"/>
    <w:rsid w:val="00FD4969"/>
    <w:rsid w:val="00FF32B6"/>
    <w:rsid w:val="00FF4EB3"/>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178C7"/>
  <w15:chartTrackingRefBased/>
  <w15:docId w15:val="{F21ACC32-4625-44B2-879A-76CEA2CC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387"/>
  </w:style>
  <w:style w:type="paragraph" w:styleId="Heading2">
    <w:name w:val="heading 2"/>
    <w:basedOn w:val="Normal"/>
    <w:link w:val="Heading2Char"/>
    <w:uiPriority w:val="9"/>
    <w:qFormat/>
    <w:rsid w:val="00FC62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C62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2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C6233"/>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FC6233"/>
  </w:style>
  <w:style w:type="paragraph" w:styleId="NormalWeb">
    <w:name w:val="Normal (Web)"/>
    <w:basedOn w:val="Normal"/>
    <w:uiPriority w:val="99"/>
    <w:unhideWhenUsed/>
    <w:rsid w:val="00FC62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5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7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2F538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F5387"/>
  </w:style>
  <w:style w:type="character" w:styleId="CommentReference">
    <w:name w:val="annotation reference"/>
    <w:basedOn w:val="DefaultParagraphFont"/>
    <w:uiPriority w:val="99"/>
    <w:semiHidden/>
    <w:unhideWhenUsed/>
    <w:rsid w:val="003A1A93"/>
    <w:rPr>
      <w:sz w:val="16"/>
      <w:szCs w:val="16"/>
    </w:rPr>
  </w:style>
  <w:style w:type="character" w:customStyle="1" w:styleId="normaltextrun1">
    <w:name w:val="normaltextrun1"/>
    <w:basedOn w:val="DefaultParagraphFont"/>
    <w:rsid w:val="00D77B1D"/>
  </w:style>
  <w:style w:type="table" w:customStyle="1" w:styleId="HMPPSTable">
    <w:name w:val="HMPPS Table"/>
    <w:basedOn w:val="TableNormal"/>
    <w:uiPriority w:val="99"/>
    <w:rsid w:val="00F41F32"/>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styleId="NoSpacing">
    <w:name w:val="No Spacing"/>
    <w:uiPriority w:val="1"/>
    <w:qFormat/>
    <w:rsid w:val="008F7135"/>
    <w:pPr>
      <w:spacing w:after="0" w:line="240" w:lineRule="auto"/>
    </w:pPr>
  </w:style>
  <w:style w:type="paragraph" w:styleId="Header">
    <w:name w:val="header"/>
    <w:basedOn w:val="Normal"/>
    <w:link w:val="HeaderChar"/>
    <w:uiPriority w:val="99"/>
    <w:unhideWhenUsed/>
    <w:rsid w:val="0078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C73"/>
  </w:style>
  <w:style w:type="paragraph" w:styleId="Footer">
    <w:name w:val="footer"/>
    <w:basedOn w:val="Normal"/>
    <w:link w:val="FooterChar"/>
    <w:uiPriority w:val="99"/>
    <w:unhideWhenUsed/>
    <w:rsid w:val="0078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73"/>
  </w:style>
  <w:style w:type="paragraph" w:styleId="CommentText">
    <w:name w:val="annotation text"/>
    <w:basedOn w:val="Normal"/>
    <w:link w:val="CommentTextChar"/>
    <w:uiPriority w:val="99"/>
    <w:semiHidden/>
    <w:unhideWhenUsed/>
    <w:rsid w:val="00BC5317"/>
    <w:pPr>
      <w:spacing w:line="240" w:lineRule="auto"/>
    </w:pPr>
    <w:rPr>
      <w:sz w:val="20"/>
      <w:szCs w:val="20"/>
    </w:rPr>
  </w:style>
  <w:style w:type="character" w:customStyle="1" w:styleId="CommentTextChar">
    <w:name w:val="Comment Text Char"/>
    <w:basedOn w:val="DefaultParagraphFont"/>
    <w:link w:val="CommentText"/>
    <w:uiPriority w:val="99"/>
    <w:semiHidden/>
    <w:rsid w:val="00BC5317"/>
    <w:rPr>
      <w:sz w:val="20"/>
      <w:szCs w:val="20"/>
    </w:rPr>
  </w:style>
  <w:style w:type="paragraph" w:styleId="CommentSubject">
    <w:name w:val="annotation subject"/>
    <w:basedOn w:val="CommentText"/>
    <w:next w:val="CommentText"/>
    <w:link w:val="CommentSubjectChar"/>
    <w:uiPriority w:val="99"/>
    <w:semiHidden/>
    <w:unhideWhenUsed/>
    <w:rsid w:val="00BC5317"/>
    <w:rPr>
      <w:b/>
      <w:bCs/>
    </w:rPr>
  </w:style>
  <w:style w:type="character" w:customStyle="1" w:styleId="CommentSubjectChar">
    <w:name w:val="Comment Subject Char"/>
    <w:basedOn w:val="CommentTextChar"/>
    <w:link w:val="CommentSubject"/>
    <w:uiPriority w:val="99"/>
    <w:semiHidden/>
    <w:rsid w:val="00BC5317"/>
    <w:rPr>
      <w:b/>
      <w:bCs/>
      <w:sz w:val="20"/>
      <w:szCs w:val="20"/>
    </w:rPr>
  </w:style>
  <w:style w:type="paragraph" w:styleId="Revision">
    <w:name w:val="Revision"/>
    <w:hidden/>
    <w:uiPriority w:val="99"/>
    <w:semiHidden/>
    <w:rsid w:val="00BC5317"/>
    <w:pPr>
      <w:spacing w:after="0" w:line="240" w:lineRule="auto"/>
    </w:pPr>
  </w:style>
  <w:style w:type="paragraph" w:styleId="BalloonText">
    <w:name w:val="Balloon Text"/>
    <w:basedOn w:val="Normal"/>
    <w:link w:val="BalloonTextChar"/>
    <w:uiPriority w:val="99"/>
    <w:semiHidden/>
    <w:unhideWhenUsed/>
    <w:rsid w:val="00BC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17"/>
    <w:rPr>
      <w:rFonts w:ascii="Segoe UI" w:hAnsi="Segoe UI" w:cs="Segoe UI"/>
      <w:sz w:val="18"/>
      <w:szCs w:val="18"/>
    </w:rPr>
  </w:style>
  <w:style w:type="paragraph" w:customStyle="1" w:styleId="CoverDate">
    <w:name w:val="Cover Date"/>
    <w:basedOn w:val="Normal"/>
    <w:qFormat/>
    <w:rsid w:val="00175092"/>
    <w:pPr>
      <w:spacing w:before="240" w:after="240" w:line="264" w:lineRule="auto"/>
    </w:pPr>
    <w:rPr>
      <w:rFonts w:ascii="Arial" w:eastAsia="Calibri" w:hAnsi="Arial" w:cs="Arial"/>
      <w:sz w:val="32"/>
      <w:szCs w:val="28"/>
      <w:lang w:bidi="he-IL"/>
    </w:rPr>
  </w:style>
  <w:style w:type="paragraph" w:customStyle="1" w:styleId="CoverTitle">
    <w:name w:val="Cover Title"/>
    <w:basedOn w:val="Normal"/>
    <w:qFormat/>
    <w:rsid w:val="00175092"/>
    <w:pPr>
      <w:spacing w:after="240" w:line="240" w:lineRule="auto"/>
    </w:pPr>
    <w:rPr>
      <w:rFonts w:ascii="Arial" w:eastAsia="Calibri" w:hAnsi="Arial" w:cs="Arial"/>
      <w:b/>
      <w:sz w:val="80"/>
      <w:szCs w:val="88"/>
      <w:lang w:bidi="he-IL"/>
    </w:rPr>
  </w:style>
  <w:style w:type="paragraph" w:customStyle="1" w:styleId="CoverAuthor">
    <w:name w:val="Cover Author"/>
    <w:basedOn w:val="Normal"/>
    <w:qFormat/>
    <w:rsid w:val="00175092"/>
    <w:pPr>
      <w:spacing w:after="240" w:line="264" w:lineRule="auto"/>
    </w:pPr>
    <w:rPr>
      <w:rFonts w:ascii="Arial" w:eastAsia="Calibri" w:hAnsi="Arial" w:cs="Arial"/>
      <w:sz w:val="40"/>
      <w:szCs w:val="28"/>
      <w:lang w:bidi="he-IL"/>
    </w:rPr>
  </w:style>
  <w:style w:type="paragraph" w:styleId="FootnoteText">
    <w:name w:val="footnote text"/>
    <w:basedOn w:val="Normal"/>
    <w:link w:val="FootnoteTextChar"/>
    <w:uiPriority w:val="99"/>
    <w:semiHidden/>
    <w:unhideWhenUsed/>
    <w:rsid w:val="00A75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C1E"/>
    <w:rPr>
      <w:sz w:val="20"/>
      <w:szCs w:val="20"/>
    </w:rPr>
  </w:style>
  <w:style w:type="character" w:styleId="FootnoteReference">
    <w:name w:val="footnote reference"/>
    <w:basedOn w:val="DefaultParagraphFont"/>
    <w:uiPriority w:val="99"/>
    <w:semiHidden/>
    <w:unhideWhenUsed/>
    <w:rsid w:val="00A75C1E"/>
    <w:rPr>
      <w:vertAlign w:val="superscript"/>
    </w:rPr>
  </w:style>
  <w:style w:type="character" w:styleId="Hyperlink">
    <w:name w:val="Hyperlink"/>
    <w:basedOn w:val="DefaultParagraphFont"/>
    <w:uiPriority w:val="99"/>
    <w:unhideWhenUsed/>
    <w:rsid w:val="008115A2"/>
    <w:rPr>
      <w:color w:val="0563C1" w:themeColor="hyperlink"/>
      <w:u w:val="single"/>
    </w:rPr>
  </w:style>
  <w:style w:type="character" w:customStyle="1" w:styleId="UnresolvedMention1">
    <w:name w:val="Unresolved Mention1"/>
    <w:basedOn w:val="DefaultParagraphFont"/>
    <w:uiPriority w:val="99"/>
    <w:semiHidden/>
    <w:unhideWhenUsed/>
    <w:rsid w:val="005C5271"/>
    <w:rPr>
      <w:color w:val="605E5C"/>
      <w:shd w:val="clear" w:color="auto" w:fill="E1DFDD"/>
    </w:rPr>
  </w:style>
  <w:style w:type="character" w:styleId="FollowedHyperlink">
    <w:name w:val="FollowedHyperlink"/>
    <w:basedOn w:val="DefaultParagraphFont"/>
    <w:uiPriority w:val="99"/>
    <w:semiHidden/>
    <w:unhideWhenUsed/>
    <w:rsid w:val="0038424D"/>
    <w:rPr>
      <w:color w:val="954F72" w:themeColor="followedHyperlink"/>
      <w:u w:val="single"/>
    </w:rPr>
  </w:style>
  <w:style w:type="character" w:customStyle="1" w:styleId="UnresolvedMention2">
    <w:name w:val="Unresolved Mention2"/>
    <w:basedOn w:val="DefaultParagraphFont"/>
    <w:uiPriority w:val="99"/>
    <w:semiHidden/>
    <w:unhideWhenUsed/>
    <w:rsid w:val="009D45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4642">
      <w:bodyDiv w:val="1"/>
      <w:marLeft w:val="0"/>
      <w:marRight w:val="0"/>
      <w:marTop w:val="0"/>
      <w:marBottom w:val="0"/>
      <w:divBdr>
        <w:top w:val="none" w:sz="0" w:space="0" w:color="auto"/>
        <w:left w:val="none" w:sz="0" w:space="0" w:color="auto"/>
        <w:bottom w:val="none" w:sz="0" w:space="0" w:color="auto"/>
        <w:right w:val="none" w:sz="0" w:space="0" w:color="auto"/>
      </w:divBdr>
    </w:div>
    <w:div w:id="204296677">
      <w:bodyDiv w:val="1"/>
      <w:marLeft w:val="0"/>
      <w:marRight w:val="0"/>
      <w:marTop w:val="0"/>
      <w:marBottom w:val="0"/>
      <w:divBdr>
        <w:top w:val="none" w:sz="0" w:space="0" w:color="auto"/>
        <w:left w:val="none" w:sz="0" w:space="0" w:color="auto"/>
        <w:bottom w:val="none" w:sz="0" w:space="0" w:color="auto"/>
        <w:right w:val="none" w:sz="0" w:space="0" w:color="auto"/>
      </w:divBdr>
    </w:div>
    <w:div w:id="240800105">
      <w:bodyDiv w:val="1"/>
      <w:marLeft w:val="0"/>
      <w:marRight w:val="0"/>
      <w:marTop w:val="0"/>
      <w:marBottom w:val="0"/>
      <w:divBdr>
        <w:top w:val="none" w:sz="0" w:space="0" w:color="auto"/>
        <w:left w:val="none" w:sz="0" w:space="0" w:color="auto"/>
        <w:bottom w:val="none" w:sz="0" w:space="0" w:color="auto"/>
        <w:right w:val="none" w:sz="0" w:space="0" w:color="auto"/>
      </w:divBdr>
    </w:div>
    <w:div w:id="364448583">
      <w:bodyDiv w:val="1"/>
      <w:marLeft w:val="0"/>
      <w:marRight w:val="0"/>
      <w:marTop w:val="0"/>
      <w:marBottom w:val="0"/>
      <w:divBdr>
        <w:top w:val="none" w:sz="0" w:space="0" w:color="auto"/>
        <w:left w:val="none" w:sz="0" w:space="0" w:color="auto"/>
        <w:bottom w:val="none" w:sz="0" w:space="0" w:color="auto"/>
        <w:right w:val="none" w:sz="0" w:space="0" w:color="auto"/>
      </w:divBdr>
    </w:div>
    <w:div w:id="425006279">
      <w:bodyDiv w:val="1"/>
      <w:marLeft w:val="0"/>
      <w:marRight w:val="0"/>
      <w:marTop w:val="0"/>
      <w:marBottom w:val="0"/>
      <w:divBdr>
        <w:top w:val="none" w:sz="0" w:space="0" w:color="auto"/>
        <w:left w:val="none" w:sz="0" w:space="0" w:color="auto"/>
        <w:bottom w:val="none" w:sz="0" w:space="0" w:color="auto"/>
        <w:right w:val="none" w:sz="0" w:space="0" w:color="auto"/>
      </w:divBdr>
    </w:div>
    <w:div w:id="908004688">
      <w:bodyDiv w:val="1"/>
      <w:marLeft w:val="0"/>
      <w:marRight w:val="0"/>
      <w:marTop w:val="0"/>
      <w:marBottom w:val="0"/>
      <w:divBdr>
        <w:top w:val="none" w:sz="0" w:space="0" w:color="auto"/>
        <w:left w:val="none" w:sz="0" w:space="0" w:color="auto"/>
        <w:bottom w:val="none" w:sz="0" w:space="0" w:color="auto"/>
        <w:right w:val="none" w:sz="0" w:space="0" w:color="auto"/>
      </w:divBdr>
    </w:div>
    <w:div w:id="1053117770">
      <w:bodyDiv w:val="1"/>
      <w:marLeft w:val="0"/>
      <w:marRight w:val="0"/>
      <w:marTop w:val="0"/>
      <w:marBottom w:val="0"/>
      <w:divBdr>
        <w:top w:val="none" w:sz="0" w:space="0" w:color="auto"/>
        <w:left w:val="none" w:sz="0" w:space="0" w:color="auto"/>
        <w:bottom w:val="none" w:sz="0" w:space="0" w:color="auto"/>
        <w:right w:val="none" w:sz="0" w:space="0" w:color="auto"/>
      </w:divBdr>
    </w:div>
    <w:div w:id="1143230480">
      <w:bodyDiv w:val="1"/>
      <w:marLeft w:val="0"/>
      <w:marRight w:val="0"/>
      <w:marTop w:val="0"/>
      <w:marBottom w:val="0"/>
      <w:divBdr>
        <w:top w:val="none" w:sz="0" w:space="0" w:color="auto"/>
        <w:left w:val="none" w:sz="0" w:space="0" w:color="auto"/>
        <w:bottom w:val="none" w:sz="0" w:space="0" w:color="auto"/>
        <w:right w:val="none" w:sz="0" w:space="0" w:color="auto"/>
      </w:divBdr>
    </w:div>
    <w:div w:id="1328052521">
      <w:bodyDiv w:val="1"/>
      <w:marLeft w:val="0"/>
      <w:marRight w:val="0"/>
      <w:marTop w:val="0"/>
      <w:marBottom w:val="0"/>
      <w:divBdr>
        <w:top w:val="none" w:sz="0" w:space="0" w:color="auto"/>
        <w:left w:val="none" w:sz="0" w:space="0" w:color="auto"/>
        <w:bottom w:val="none" w:sz="0" w:space="0" w:color="auto"/>
        <w:right w:val="none" w:sz="0" w:space="0" w:color="auto"/>
      </w:divBdr>
    </w:div>
    <w:div w:id="1448235993">
      <w:bodyDiv w:val="1"/>
      <w:marLeft w:val="0"/>
      <w:marRight w:val="0"/>
      <w:marTop w:val="0"/>
      <w:marBottom w:val="0"/>
      <w:divBdr>
        <w:top w:val="none" w:sz="0" w:space="0" w:color="auto"/>
        <w:left w:val="none" w:sz="0" w:space="0" w:color="auto"/>
        <w:bottom w:val="none" w:sz="0" w:space="0" w:color="auto"/>
        <w:right w:val="none" w:sz="0" w:space="0" w:color="auto"/>
      </w:divBdr>
    </w:div>
    <w:div w:id="1478305198">
      <w:bodyDiv w:val="1"/>
      <w:marLeft w:val="0"/>
      <w:marRight w:val="0"/>
      <w:marTop w:val="0"/>
      <w:marBottom w:val="0"/>
      <w:divBdr>
        <w:top w:val="none" w:sz="0" w:space="0" w:color="auto"/>
        <w:left w:val="none" w:sz="0" w:space="0" w:color="auto"/>
        <w:bottom w:val="none" w:sz="0" w:space="0" w:color="auto"/>
        <w:right w:val="none" w:sz="0" w:space="0" w:color="auto"/>
      </w:divBdr>
      <w:divsChild>
        <w:div w:id="579605718">
          <w:marLeft w:val="0"/>
          <w:marRight w:val="0"/>
          <w:marTop w:val="0"/>
          <w:marBottom w:val="0"/>
          <w:divBdr>
            <w:top w:val="none" w:sz="0" w:space="0" w:color="auto"/>
            <w:left w:val="none" w:sz="0" w:space="0" w:color="auto"/>
            <w:bottom w:val="none" w:sz="0" w:space="0" w:color="auto"/>
            <w:right w:val="none" w:sz="0" w:space="0" w:color="auto"/>
          </w:divBdr>
          <w:divsChild>
            <w:div w:id="796878009">
              <w:marLeft w:val="0"/>
              <w:marRight w:val="0"/>
              <w:marTop w:val="0"/>
              <w:marBottom w:val="0"/>
              <w:divBdr>
                <w:top w:val="none" w:sz="0" w:space="0" w:color="auto"/>
                <w:left w:val="none" w:sz="0" w:space="0" w:color="auto"/>
                <w:bottom w:val="none" w:sz="0" w:space="0" w:color="auto"/>
                <w:right w:val="none" w:sz="0" w:space="0" w:color="auto"/>
              </w:divBdr>
              <w:divsChild>
                <w:div w:id="1916090707">
                  <w:marLeft w:val="0"/>
                  <w:marRight w:val="0"/>
                  <w:marTop w:val="0"/>
                  <w:marBottom w:val="0"/>
                  <w:divBdr>
                    <w:top w:val="none" w:sz="0" w:space="0" w:color="auto"/>
                    <w:left w:val="none" w:sz="0" w:space="0" w:color="auto"/>
                    <w:bottom w:val="none" w:sz="0" w:space="0" w:color="auto"/>
                    <w:right w:val="none" w:sz="0" w:space="0" w:color="auto"/>
                  </w:divBdr>
                  <w:divsChild>
                    <w:div w:id="330571227">
                      <w:marLeft w:val="0"/>
                      <w:marRight w:val="0"/>
                      <w:marTop w:val="0"/>
                      <w:marBottom w:val="0"/>
                      <w:divBdr>
                        <w:top w:val="none" w:sz="0" w:space="0" w:color="auto"/>
                        <w:left w:val="none" w:sz="0" w:space="0" w:color="auto"/>
                        <w:bottom w:val="none" w:sz="0" w:space="0" w:color="auto"/>
                        <w:right w:val="none" w:sz="0" w:space="0" w:color="auto"/>
                      </w:divBdr>
                      <w:divsChild>
                        <w:div w:id="11099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3200">
          <w:marLeft w:val="0"/>
          <w:marRight w:val="0"/>
          <w:marTop w:val="0"/>
          <w:marBottom w:val="0"/>
          <w:divBdr>
            <w:top w:val="none" w:sz="0" w:space="0" w:color="auto"/>
            <w:left w:val="none" w:sz="0" w:space="0" w:color="auto"/>
            <w:bottom w:val="none" w:sz="0" w:space="0" w:color="auto"/>
            <w:right w:val="none" w:sz="0" w:space="0" w:color="auto"/>
          </w:divBdr>
        </w:div>
      </w:divsChild>
    </w:div>
    <w:div w:id="1843428533">
      <w:bodyDiv w:val="1"/>
      <w:marLeft w:val="0"/>
      <w:marRight w:val="0"/>
      <w:marTop w:val="0"/>
      <w:marBottom w:val="0"/>
      <w:divBdr>
        <w:top w:val="none" w:sz="0" w:space="0" w:color="auto"/>
        <w:left w:val="none" w:sz="0" w:space="0" w:color="auto"/>
        <w:bottom w:val="none" w:sz="0" w:space="0" w:color="auto"/>
        <w:right w:val="none" w:sz="0" w:space="0" w:color="auto"/>
      </w:divBdr>
    </w:div>
    <w:div w:id="2135824762">
      <w:bodyDiv w:val="1"/>
      <w:marLeft w:val="0"/>
      <w:marRight w:val="0"/>
      <w:marTop w:val="0"/>
      <w:marBottom w:val="0"/>
      <w:divBdr>
        <w:top w:val="none" w:sz="0" w:space="0" w:color="auto"/>
        <w:left w:val="none" w:sz="0" w:space="0" w:color="auto"/>
        <w:bottom w:val="none" w:sz="0" w:space="0" w:color="auto"/>
        <w:right w:val="none" w:sz="0" w:space="0" w:color="auto"/>
      </w:divBdr>
      <w:divsChild>
        <w:div w:id="60836604">
          <w:marLeft w:val="0"/>
          <w:marRight w:val="0"/>
          <w:marTop w:val="0"/>
          <w:marBottom w:val="0"/>
          <w:divBdr>
            <w:top w:val="none" w:sz="0" w:space="0" w:color="auto"/>
            <w:left w:val="none" w:sz="0" w:space="0" w:color="auto"/>
            <w:bottom w:val="none" w:sz="0" w:space="0" w:color="auto"/>
            <w:right w:val="none" w:sz="0" w:space="0" w:color="auto"/>
          </w:divBdr>
        </w:div>
        <w:div w:id="78798671">
          <w:marLeft w:val="0"/>
          <w:marRight w:val="0"/>
          <w:marTop w:val="0"/>
          <w:marBottom w:val="0"/>
          <w:divBdr>
            <w:top w:val="none" w:sz="0" w:space="0" w:color="auto"/>
            <w:left w:val="none" w:sz="0" w:space="0" w:color="auto"/>
            <w:bottom w:val="none" w:sz="0" w:space="0" w:color="auto"/>
            <w:right w:val="none" w:sz="0" w:space="0" w:color="auto"/>
          </w:divBdr>
        </w:div>
        <w:div w:id="86076105">
          <w:marLeft w:val="0"/>
          <w:marRight w:val="0"/>
          <w:marTop w:val="0"/>
          <w:marBottom w:val="0"/>
          <w:divBdr>
            <w:top w:val="none" w:sz="0" w:space="0" w:color="auto"/>
            <w:left w:val="none" w:sz="0" w:space="0" w:color="auto"/>
            <w:bottom w:val="none" w:sz="0" w:space="0" w:color="auto"/>
            <w:right w:val="none" w:sz="0" w:space="0" w:color="auto"/>
          </w:divBdr>
        </w:div>
        <w:div w:id="89855964">
          <w:marLeft w:val="0"/>
          <w:marRight w:val="0"/>
          <w:marTop w:val="0"/>
          <w:marBottom w:val="0"/>
          <w:divBdr>
            <w:top w:val="none" w:sz="0" w:space="0" w:color="auto"/>
            <w:left w:val="none" w:sz="0" w:space="0" w:color="auto"/>
            <w:bottom w:val="none" w:sz="0" w:space="0" w:color="auto"/>
            <w:right w:val="none" w:sz="0" w:space="0" w:color="auto"/>
          </w:divBdr>
        </w:div>
        <w:div w:id="108863850">
          <w:marLeft w:val="0"/>
          <w:marRight w:val="0"/>
          <w:marTop w:val="0"/>
          <w:marBottom w:val="0"/>
          <w:divBdr>
            <w:top w:val="none" w:sz="0" w:space="0" w:color="auto"/>
            <w:left w:val="none" w:sz="0" w:space="0" w:color="auto"/>
            <w:bottom w:val="none" w:sz="0" w:space="0" w:color="auto"/>
            <w:right w:val="none" w:sz="0" w:space="0" w:color="auto"/>
          </w:divBdr>
        </w:div>
        <w:div w:id="115754793">
          <w:marLeft w:val="0"/>
          <w:marRight w:val="0"/>
          <w:marTop w:val="0"/>
          <w:marBottom w:val="0"/>
          <w:divBdr>
            <w:top w:val="none" w:sz="0" w:space="0" w:color="auto"/>
            <w:left w:val="none" w:sz="0" w:space="0" w:color="auto"/>
            <w:bottom w:val="none" w:sz="0" w:space="0" w:color="auto"/>
            <w:right w:val="none" w:sz="0" w:space="0" w:color="auto"/>
          </w:divBdr>
        </w:div>
        <w:div w:id="146560447">
          <w:marLeft w:val="0"/>
          <w:marRight w:val="0"/>
          <w:marTop w:val="0"/>
          <w:marBottom w:val="0"/>
          <w:divBdr>
            <w:top w:val="none" w:sz="0" w:space="0" w:color="auto"/>
            <w:left w:val="none" w:sz="0" w:space="0" w:color="auto"/>
            <w:bottom w:val="none" w:sz="0" w:space="0" w:color="auto"/>
            <w:right w:val="none" w:sz="0" w:space="0" w:color="auto"/>
          </w:divBdr>
        </w:div>
        <w:div w:id="150293590">
          <w:marLeft w:val="0"/>
          <w:marRight w:val="0"/>
          <w:marTop w:val="0"/>
          <w:marBottom w:val="0"/>
          <w:divBdr>
            <w:top w:val="none" w:sz="0" w:space="0" w:color="auto"/>
            <w:left w:val="none" w:sz="0" w:space="0" w:color="auto"/>
            <w:bottom w:val="none" w:sz="0" w:space="0" w:color="auto"/>
            <w:right w:val="none" w:sz="0" w:space="0" w:color="auto"/>
          </w:divBdr>
        </w:div>
        <w:div w:id="193033565">
          <w:marLeft w:val="0"/>
          <w:marRight w:val="0"/>
          <w:marTop w:val="0"/>
          <w:marBottom w:val="0"/>
          <w:divBdr>
            <w:top w:val="none" w:sz="0" w:space="0" w:color="auto"/>
            <w:left w:val="none" w:sz="0" w:space="0" w:color="auto"/>
            <w:bottom w:val="none" w:sz="0" w:space="0" w:color="auto"/>
            <w:right w:val="none" w:sz="0" w:space="0" w:color="auto"/>
          </w:divBdr>
        </w:div>
        <w:div w:id="193271409">
          <w:marLeft w:val="0"/>
          <w:marRight w:val="0"/>
          <w:marTop w:val="0"/>
          <w:marBottom w:val="0"/>
          <w:divBdr>
            <w:top w:val="none" w:sz="0" w:space="0" w:color="auto"/>
            <w:left w:val="none" w:sz="0" w:space="0" w:color="auto"/>
            <w:bottom w:val="none" w:sz="0" w:space="0" w:color="auto"/>
            <w:right w:val="none" w:sz="0" w:space="0" w:color="auto"/>
          </w:divBdr>
        </w:div>
        <w:div w:id="195121074">
          <w:marLeft w:val="0"/>
          <w:marRight w:val="0"/>
          <w:marTop w:val="0"/>
          <w:marBottom w:val="0"/>
          <w:divBdr>
            <w:top w:val="none" w:sz="0" w:space="0" w:color="auto"/>
            <w:left w:val="none" w:sz="0" w:space="0" w:color="auto"/>
            <w:bottom w:val="none" w:sz="0" w:space="0" w:color="auto"/>
            <w:right w:val="none" w:sz="0" w:space="0" w:color="auto"/>
          </w:divBdr>
        </w:div>
        <w:div w:id="206769975">
          <w:marLeft w:val="0"/>
          <w:marRight w:val="0"/>
          <w:marTop w:val="0"/>
          <w:marBottom w:val="0"/>
          <w:divBdr>
            <w:top w:val="none" w:sz="0" w:space="0" w:color="auto"/>
            <w:left w:val="none" w:sz="0" w:space="0" w:color="auto"/>
            <w:bottom w:val="none" w:sz="0" w:space="0" w:color="auto"/>
            <w:right w:val="none" w:sz="0" w:space="0" w:color="auto"/>
          </w:divBdr>
        </w:div>
        <w:div w:id="212038125">
          <w:marLeft w:val="0"/>
          <w:marRight w:val="0"/>
          <w:marTop w:val="0"/>
          <w:marBottom w:val="0"/>
          <w:divBdr>
            <w:top w:val="none" w:sz="0" w:space="0" w:color="auto"/>
            <w:left w:val="none" w:sz="0" w:space="0" w:color="auto"/>
            <w:bottom w:val="none" w:sz="0" w:space="0" w:color="auto"/>
            <w:right w:val="none" w:sz="0" w:space="0" w:color="auto"/>
          </w:divBdr>
        </w:div>
        <w:div w:id="337080509">
          <w:marLeft w:val="0"/>
          <w:marRight w:val="0"/>
          <w:marTop w:val="0"/>
          <w:marBottom w:val="0"/>
          <w:divBdr>
            <w:top w:val="none" w:sz="0" w:space="0" w:color="auto"/>
            <w:left w:val="none" w:sz="0" w:space="0" w:color="auto"/>
            <w:bottom w:val="none" w:sz="0" w:space="0" w:color="auto"/>
            <w:right w:val="none" w:sz="0" w:space="0" w:color="auto"/>
          </w:divBdr>
        </w:div>
        <w:div w:id="343047261">
          <w:marLeft w:val="0"/>
          <w:marRight w:val="0"/>
          <w:marTop w:val="0"/>
          <w:marBottom w:val="0"/>
          <w:divBdr>
            <w:top w:val="none" w:sz="0" w:space="0" w:color="auto"/>
            <w:left w:val="none" w:sz="0" w:space="0" w:color="auto"/>
            <w:bottom w:val="none" w:sz="0" w:space="0" w:color="auto"/>
            <w:right w:val="none" w:sz="0" w:space="0" w:color="auto"/>
          </w:divBdr>
        </w:div>
        <w:div w:id="351034584">
          <w:marLeft w:val="0"/>
          <w:marRight w:val="0"/>
          <w:marTop w:val="0"/>
          <w:marBottom w:val="0"/>
          <w:divBdr>
            <w:top w:val="none" w:sz="0" w:space="0" w:color="auto"/>
            <w:left w:val="none" w:sz="0" w:space="0" w:color="auto"/>
            <w:bottom w:val="none" w:sz="0" w:space="0" w:color="auto"/>
            <w:right w:val="none" w:sz="0" w:space="0" w:color="auto"/>
          </w:divBdr>
        </w:div>
        <w:div w:id="364868404">
          <w:marLeft w:val="0"/>
          <w:marRight w:val="0"/>
          <w:marTop w:val="0"/>
          <w:marBottom w:val="0"/>
          <w:divBdr>
            <w:top w:val="none" w:sz="0" w:space="0" w:color="auto"/>
            <w:left w:val="none" w:sz="0" w:space="0" w:color="auto"/>
            <w:bottom w:val="none" w:sz="0" w:space="0" w:color="auto"/>
            <w:right w:val="none" w:sz="0" w:space="0" w:color="auto"/>
          </w:divBdr>
        </w:div>
        <w:div w:id="400300422">
          <w:marLeft w:val="0"/>
          <w:marRight w:val="0"/>
          <w:marTop w:val="0"/>
          <w:marBottom w:val="0"/>
          <w:divBdr>
            <w:top w:val="none" w:sz="0" w:space="0" w:color="auto"/>
            <w:left w:val="none" w:sz="0" w:space="0" w:color="auto"/>
            <w:bottom w:val="none" w:sz="0" w:space="0" w:color="auto"/>
            <w:right w:val="none" w:sz="0" w:space="0" w:color="auto"/>
          </w:divBdr>
        </w:div>
        <w:div w:id="422070935">
          <w:marLeft w:val="0"/>
          <w:marRight w:val="0"/>
          <w:marTop w:val="0"/>
          <w:marBottom w:val="0"/>
          <w:divBdr>
            <w:top w:val="none" w:sz="0" w:space="0" w:color="auto"/>
            <w:left w:val="none" w:sz="0" w:space="0" w:color="auto"/>
            <w:bottom w:val="none" w:sz="0" w:space="0" w:color="auto"/>
            <w:right w:val="none" w:sz="0" w:space="0" w:color="auto"/>
          </w:divBdr>
        </w:div>
        <w:div w:id="444925353">
          <w:marLeft w:val="0"/>
          <w:marRight w:val="0"/>
          <w:marTop w:val="0"/>
          <w:marBottom w:val="0"/>
          <w:divBdr>
            <w:top w:val="none" w:sz="0" w:space="0" w:color="auto"/>
            <w:left w:val="none" w:sz="0" w:space="0" w:color="auto"/>
            <w:bottom w:val="none" w:sz="0" w:space="0" w:color="auto"/>
            <w:right w:val="none" w:sz="0" w:space="0" w:color="auto"/>
          </w:divBdr>
        </w:div>
        <w:div w:id="448858908">
          <w:marLeft w:val="0"/>
          <w:marRight w:val="0"/>
          <w:marTop w:val="0"/>
          <w:marBottom w:val="0"/>
          <w:divBdr>
            <w:top w:val="none" w:sz="0" w:space="0" w:color="auto"/>
            <w:left w:val="none" w:sz="0" w:space="0" w:color="auto"/>
            <w:bottom w:val="none" w:sz="0" w:space="0" w:color="auto"/>
            <w:right w:val="none" w:sz="0" w:space="0" w:color="auto"/>
          </w:divBdr>
        </w:div>
        <w:div w:id="497381319">
          <w:marLeft w:val="0"/>
          <w:marRight w:val="0"/>
          <w:marTop w:val="0"/>
          <w:marBottom w:val="0"/>
          <w:divBdr>
            <w:top w:val="none" w:sz="0" w:space="0" w:color="auto"/>
            <w:left w:val="none" w:sz="0" w:space="0" w:color="auto"/>
            <w:bottom w:val="none" w:sz="0" w:space="0" w:color="auto"/>
            <w:right w:val="none" w:sz="0" w:space="0" w:color="auto"/>
          </w:divBdr>
        </w:div>
        <w:div w:id="506943089">
          <w:marLeft w:val="0"/>
          <w:marRight w:val="0"/>
          <w:marTop w:val="0"/>
          <w:marBottom w:val="0"/>
          <w:divBdr>
            <w:top w:val="none" w:sz="0" w:space="0" w:color="auto"/>
            <w:left w:val="none" w:sz="0" w:space="0" w:color="auto"/>
            <w:bottom w:val="none" w:sz="0" w:space="0" w:color="auto"/>
            <w:right w:val="none" w:sz="0" w:space="0" w:color="auto"/>
          </w:divBdr>
        </w:div>
        <w:div w:id="556821382">
          <w:marLeft w:val="0"/>
          <w:marRight w:val="0"/>
          <w:marTop w:val="0"/>
          <w:marBottom w:val="0"/>
          <w:divBdr>
            <w:top w:val="none" w:sz="0" w:space="0" w:color="auto"/>
            <w:left w:val="none" w:sz="0" w:space="0" w:color="auto"/>
            <w:bottom w:val="none" w:sz="0" w:space="0" w:color="auto"/>
            <w:right w:val="none" w:sz="0" w:space="0" w:color="auto"/>
          </w:divBdr>
        </w:div>
        <w:div w:id="653223780">
          <w:marLeft w:val="0"/>
          <w:marRight w:val="0"/>
          <w:marTop w:val="0"/>
          <w:marBottom w:val="0"/>
          <w:divBdr>
            <w:top w:val="none" w:sz="0" w:space="0" w:color="auto"/>
            <w:left w:val="none" w:sz="0" w:space="0" w:color="auto"/>
            <w:bottom w:val="none" w:sz="0" w:space="0" w:color="auto"/>
            <w:right w:val="none" w:sz="0" w:space="0" w:color="auto"/>
          </w:divBdr>
        </w:div>
        <w:div w:id="667712238">
          <w:marLeft w:val="0"/>
          <w:marRight w:val="0"/>
          <w:marTop w:val="0"/>
          <w:marBottom w:val="0"/>
          <w:divBdr>
            <w:top w:val="none" w:sz="0" w:space="0" w:color="auto"/>
            <w:left w:val="none" w:sz="0" w:space="0" w:color="auto"/>
            <w:bottom w:val="none" w:sz="0" w:space="0" w:color="auto"/>
            <w:right w:val="none" w:sz="0" w:space="0" w:color="auto"/>
          </w:divBdr>
        </w:div>
        <w:div w:id="688531586">
          <w:marLeft w:val="0"/>
          <w:marRight w:val="0"/>
          <w:marTop w:val="0"/>
          <w:marBottom w:val="0"/>
          <w:divBdr>
            <w:top w:val="none" w:sz="0" w:space="0" w:color="auto"/>
            <w:left w:val="none" w:sz="0" w:space="0" w:color="auto"/>
            <w:bottom w:val="none" w:sz="0" w:space="0" w:color="auto"/>
            <w:right w:val="none" w:sz="0" w:space="0" w:color="auto"/>
          </w:divBdr>
        </w:div>
        <w:div w:id="715592453">
          <w:marLeft w:val="0"/>
          <w:marRight w:val="0"/>
          <w:marTop w:val="0"/>
          <w:marBottom w:val="0"/>
          <w:divBdr>
            <w:top w:val="none" w:sz="0" w:space="0" w:color="auto"/>
            <w:left w:val="none" w:sz="0" w:space="0" w:color="auto"/>
            <w:bottom w:val="none" w:sz="0" w:space="0" w:color="auto"/>
            <w:right w:val="none" w:sz="0" w:space="0" w:color="auto"/>
          </w:divBdr>
        </w:div>
        <w:div w:id="719943549">
          <w:marLeft w:val="0"/>
          <w:marRight w:val="0"/>
          <w:marTop w:val="0"/>
          <w:marBottom w:val="0"/>
          <w:divBdr>
            <w:top w:val="none" w:sz="0" w:space="0" w:color="auto"/>
            <w:left w:val="none" w:sz="0" w:space="0" w:color="auto"/>
            <w:bottom w:val="none" w:sz="0" w:space="0" w:color="auto"/>
            <w:right w:val="none" w:sz="0" w:space="0" w:color="auto"/>
          </w:divBdr>
        </w:div>
        <w:div w:id="727340385">
          <w:marLeft w:val="0"/>
          <w:marRight w:val="0"/>
          <w:marTop w:val="0"/>
          <w:marBottom w:val="0"/>
          <w:divBdr>
            <w:top w:val="none" w:sz="0" w:space="0" w:color="auto"/>
            <w:left w:val="none" w:sz="0" w:space="0" w:color="auto"/>
            <w:bottom w:val="none" w:sz="0" w:space="0" w:color="auto"/>
            <w:right w:val="none" w:sz="0" w:space="0" w:color="auto"/>
          </w:divBdr>
        </w:div>
        <w:div w:id="751855663">
          <w:marLeft w:val="0"/>
          <w:marRight w:val="0"/>
          <w:marTop w:val="0"/>
          <w:marBottom w:val="0"/>
          <w:divBdr>
            <w:top w:val="none" w:sz="0" w:space="0" w:color="auto"/>
            <w:left w:val="none" w:sz="0" w:space="0" w:color="auto"/>
            <w:bottom w:val="none" w:sz="0" w:space="0" w:color="auto"/>
            <w:right w:val="none" w:sz="0" w:space="0" w:color="auto"/>
          </w:divBdr>
        </w:div>
        <w:div w:id="757947994">
          <w:marLeft w:val="0"/>
          <w:marRight w:val="0"/>
          <w:marTop w:val="0"/>
          <w:marBottom w:val="0"/>
          <w:divBdr>
            <w:top w:val="none" w:sz="0" w:space="0" w:color="auto"/>
            <w:left w:val="none" w:sz="0" w:space="0" w:color="auto"/>
            <w:bottom w:val="none" w:sz="0" w:space="0" w:color="auto"/>
            <w:right w:val="none" w:sz="0" w:space="0" w:color="auto"/>
          </w:divBdr>
        </w:div>
        <w:div w:id="758260456">
          <w:marLeft w:val="0"/>
          <w:marRight w:val="0"/>
          <w:marTop w:val="0"/>
          <w:marBottom w:val="0"/>
          <w:divBdr>
            <w:top w:val="none" w:sz="0" w:space="0" w:color="auto"/>
            <w:left w:val="none" w:sz="0" w:space="0" w:color="auto"/>
            <w:bottom w:val="none" w:sz="0" w:space="0" w:color="auto"/>
            <w:right w:val="none" w:sz="0" w:space="0" w:color="auto"/>
          </w:divBdr>
        </w:div>
        <w:div w:id="816989888">
          <w:marLeft w:val="0"/>
          <w:marRight w:val="0"/>
          <w:marTop w:val="0"/>
          <w:marBottom w:val="0"/>
          <w:divBdr>
            <w:top w:val="none" w:sz="0" w:space="0" w:color="auto"/>
            <w:left w:val="none" w:sz="0" w:space="0" w:color="auto"/>
            <w:bottom w:val="none" w:sz="0" w:space="0" w:color="auto"/>
            <w:right w:val="none" w:sz="0" w:space="0" w:color="auto"/>
          </w:divBdr>
        </w:div>
        <w:div w:id="818964765">
          <w:marLeft w:val="0"/>
          <w:marRight w:val="0"/>
          <w:marTop w:val="0"/>
          <w:marBottom w:val="0"/>
          <w:divBdr>
            <w:top w:val="none" w:sz="0" w:space="0" w:color="auto"/>
            <w:left w:val="none" w:sz="0" w:space="0" w:color="auto"/>
            <w:bottom w:val="none" w:sz="0" w:space="0" w:color="auto"/>
            <w:right w:val="none" w:sz="0" w:space="0" w:color="auto"/>
          </w:divBdr>
        </w:div>
        <w:div w:id="821430940">
          <w:marLeft w:val="0"/>
          <w:marRight w:val="0"/>
          <w:marTop w:val="0"/>
          <w:marBottom w:val="0"/>
          <w:divBdr>
            <w:top w:val="none" w:sz="0" w:space="0" w:color="auto"/>
            <w:left w:val="none" w:sz="0" w:space="0" w:color="auto"/>
            <w:bottom w:val="none" w:sz="0" w:space="0" w:color="auto"/>
            <w:right w:val="none" w:sz="0" w:space="0" w:color="auto"/>
          </w:divBdr>
        </w:div>
        <w:div w:id="890115559">
          <w:marLeft w:val="0"/>
          <w:marRight w:val="0"/>
          <w:marTop w:val="0"/>
          <w:marBottom w:val="0"/>
          <w:divBdr>
            <w:top w:val="none" w:sz="0" w:space="0" w:color="auto"/>
            <w:left w:val="none" w:sz="0" w:space="0" w:color="auto"/>
            <w:bottom w:val="none" w:sz="0" w:space="0" w:color="auto"/>
            <w:right w:val="none" w:sz="0" w:space="0" w:color="auto"/>
          </w:divBdr>
        </w:div>
        <w:div w:id="895432582">
          <w:marLeft w:val="0"/>
          <w:marRight w:val="0"/>
          <w:marTop w:val="0"/>
          <w:marBottom w:val="0"/>
          <w:divBdr>
            <w:top w:val="none" w:sz="0" w:space="0" w:color="auto"/>
            <w:left w:val="none" w:sz="0" w:space="0" w:color="auto"/>
            <w:bottom w:val="none" w:sz="0" w:space="0" w:color="auto"/>
            <w:right w:val="none" w:sz="0" w:space="0" w:color="auto"/>
          </w:divBdr>
        </w:div>
        <w:div w:id="923150412">
          <w:marLeft w:val="0"/>
          <w:marRight w:val="0"/>
          <w:marTop w:val="0"/>
          <w:marBottom w:val="0"/>
          <w:divBdr>
            <w:top w:val="none" w:sz="0" w:space="0" w:color="auto"/>
            <w:left w:val="none" w:sz="0" w:space="0" w:color="auto"/>
            <w:bottom w:val="none" w:sz="0" w:space="0" w:color="auto"/>
            <w:right w:val="none" w:sz="0" w:space="0" w:color="auto"/>
          </w:divBdr>
        </w:div>
        <w:div w:id="1033775325">
          <w:marLeft w:val="0"/>
          <w:marRight w:val="0"/>
          <w:marTop w:val="0"/>
          <w:marBottom w:val="0"/>
          <w:divBdr>
            <w:top w:val="none" w:sz="0" w:space="0" w:color="auto"/>
            <w:left w:val="none" w:sz="0" w:space="0" w:color="auto"/>
            <w:bottom w:val="none" w:sz="0" w:space="0" w:color="auto"/>
            <w:right w:val="none" w:sz="0" w:space="0" w:color="auto"/>
          </w:divBdr>
        </w:div>
        <w:div w:id="1038316806">
          <w:marLeft w:val="0"/>
          <w:marRight w:val="0"/>
          <w:marTop w:val="0"/>
          <w:marBottom w:val="0"/>
          <w:divBdr>
            <w:top w:val="none" w:sz="0" w:space="0" w:color="auto"/>
            <w:left w:val="none" w:sz="0" w:space="0" w:color="auto"/>
            <w:bottom w:val="none" w:sz="0" w:space="0" w:color="auto"/>
            <w:right w:val="none" w:sz="0" w:space="0" w:color="auto"/>
          </w:divBdr>
        </w:div>
        <w:div w:id="1066294449">
          <w:marLeft w:val="0"/>
          <w:marRight w:val="0"/>
          <w:marTop w:val="0"/>
          <w:marBottom w:val="0"/>
          <w:divBdr>
            <w:top w:val="none" w:sz="0" w:space="0" w:color="auto"/>
            <w:left w:val="none" w:sz="0" w:space="0" w:color="auto"/>
            <w:bottom w:val="none" w:sz="0" w:space="0" w:color="auto"/>
            <w:right w:val="none" w:sz="0" w:space="0" w:color="auto"/>
          </w:divBdr>
        </w:div>
        <w:div w:id="1098595649">
          <w:marLeft w:val="0"/>
          <w:marRight w:val="0"/>
          <w:marTop w:val="0"/>
          <w:marBottom w:val="0"/>
          <w:divBdr>
            <w:top w:val="none" w:sz="0" w:space="0" w:color="auto"/>
            <w:left w:val="none" w:sz="0" w:space="0" w:color="auto"/>
            <w:bottom w:val="none" w:sz="0" w:space="0" w:color="auto"/>
            <w:right w:val="none" w:sz="0" w:space="0" w:color="auto"/>
          </w:divBdr>
        </w:div>
        <w:div w:id="1101410925">
          <w:marLeft w:val="0"/>
          <w:marRight w:val="0"/>
          <w:marTop w:val="0"/>
          <w:marBottom w:val="0"/>
          <w:divBdr>
            <w:top w:val="none" w:sz="0" w:space="0" w:color="auto"/>
            <w:left w:val="none" w:sz="0" w:space="0" w:color="auto"/>
            <w:bottom w:val="none" w:sz="0" w:space="0" w:color="auto"/>
            <w:right w:val="none" w:sz="0" w:space="0" w:color="auto"/>
          </w:divBdr>
        </w:div>
        <w:div w:id="1173300196">
          <w:marLeft w:val="0"/>
          <w:marRight w:val="0"/>
          <w:marTop w:val="0"/>
          <w:marBottom w:val="0"/>
          <w:divBdr>
            <w:top w:val="none" w:sz="0" w:space="0" w:color="auto"/>
            <w:left w:val="none" w:sz="0" w:space="0" w:color="auto"/>
            <w:bottom w:val="none" w:sz="0" w:space="0" w:color="auto"/>
            <w:right w:val="none" w:sz="0" w:space="0" w:color="auto"/>
          </w:divBdr>
        </w:div>
        <w:div w:id="1211840751">
          <w:marLeft w:val="0"/>
          <w:marRight w:val="0"/>
          <w:marTop w:val="0"/>
          <w:marBottom w:val="0"/>
          <w:divBdr>
            <w:top w:val="none" w:sz="0" w:space="0" w:color="auto"/>
            <w:left w:val="none" w:sz="0" w:space="0" w:color="auto"/>
            <w:bottom w:val="none" w:sz="0" w:space="0" w:color="auto"/>
            <w:right w:val="none" w:sz="0" w:space="0" w:color="auto"/>
          </w:divBdr>
        </w:div>
        <w:div w:id="1231695299">
          <w:marLeft w:val="0"/>
          <w:marRight w:val="0"/>
          <w:marTop w:val="0"/>
          <w:marBottom w:val="0"/>
          <w:divBdr>
            <w:top w:val="none" w:sz="0" w:space="0" w:color="auto"/>
            <w:left w:val="none" w:sz="0" w:space="0" w:color="auto"/>
            <w:bottom w:val="none" w:sz="0" w:space="0" w:color="auto"/>
            <w:right w:val="none" w:sz="0" w:space="0" w:color="auto"/>
          </w:divBdr>
        </w:div>
        <w:div w:id="1263341149">
          <w:marLeft w:val="0"/>
          <w:marRight w:val="0"/>
          <w:marTop w:val="0"/>
          <w:marBottom w:val="0"/>
          <w:divBdr>
            <w:top w:val="none" w:sz="0" w:space="0" w:color="auto"/>
            <w:left w:val="none" w:sz="0" w:space="0" w:color="auto"/>
            <w:bottom w:val="none" w:sz="0" w:space="0" w:color="auto"/>
            <w:right w:val="none" w:sz="0" w:space="0" w:color="auto"/>
          </w:divBdr>
        </w:div>
        <w:div w:id="1298756377">
          <w:marLeft w:val="0"/>
          <w:marRight w:val="0"/>
          <w:marTop w:val="0"/>
          <w:marBottom w:val="0"/>
          <w:divBdr>
            <w:top w:val="none" w:sz="0" w:space="0" w:color="auto"/>
            <w:left w:val="none" w:sz="0" w:space="0" w:color="auto"/>
            <w:bottom w:val="none" w:sz="0" w:space="0" w:color="auto"/>
            <w:right w:val="none" w:sz="0" w:space="0" w:color="auto"/>
          </w:divBdr>
        </w:div>
        <w:div w:id="1326787443">
          <w:marLeft w:val="0"/>
          <w:marRight w:val="0"/>
          <w:marTop w:val="0"/>
          <w:marBottom w:val="0"/>
          <w:divBdr>
            <w:top w:val="none" w:sz="0" w:space="0" w:color="auto"/>
            <w:left w:val="none" w:sz="0" w:space="0" w:color="auto"/>
            <w:bottom w:val="none" w:sz="0" w:space="0" w:color="auto"/>
            <w:right w:val="none" w:sz="0" w:space="0" w:color="auto"/>
          </w:divBdr>
        </w:div>
        <w:div w:id="1397237753">
          <w:marLeft w:val="0"/>
          <w:marRight w:val="0"/>
          <w:marTop w:val="0"/>
          <w:marBottom w:val="0"/>
          <w:divBdr>
            <w:top w:val="none" w:sz="0" w:space="0" w:color="auto"/>
            <w:left w:val="none" w:sz="0" w:space="0" w:color="auto"/>
            <w:bottom w:val="none" w:sz="0" w:space="0" w:color="auto"/>
            <w:right w:val="none" w:sz="0" w:space="0" w:color="auto"/>
          </w:divBdr>
        </w:div>
        <w:div w:id="1510293599">
          <w:marLeft w:val="0"/>
          <w:marRight w:val="0"/>
          <w:marTop w:val="0"/>
          <w:marBottom w:val="0"/>
          <w:divBdr>
            <w:top w:val="none" w:sz="0" w:space="0" w:color="auto"/>
            <w:left w:val="none" w:sz="0" w:space="0" w:color="auto"/>
            <w:bottom w:val="none" w:sz="0" w:space="0" w:color="auto"/>
            <w:right w:val="none" w:sz="0" w:space="0" w:color="auto"/>
          </w:divBdr>
        </w:div>
        <w:div w:id="1515999105">
          <w:marLeft w:val="0"/>
          <w:marRight w:val="0"/>
          <w:marTop w:val="0"/>
          <w:marBottom w:val="0"/>
          <w:divBdr>
            <w:top w:val="none" w:sz="0" w:space="0" w:color="auto"/>
            <w:left w:val="none" w:sz="0" w:space="0" w:color="auto"/>
            <w:bottom w:val="none" w:sz="0" w:space="0" w:color="auto"/>
            <w:right w:val="none" w:sz="0" w:space="0" w:color="auto"/>
          </w:divBdr>
        </w:div>
        <w:div w:id="1530946030">
          <w:marLeft w:val="0"/>
          <w:marRight w:val="0"/>
          <w:marTop w:val="0"/>
          <w:marBottom w:val="0"/>
          <w:divBdr>
            <w:top w:val="none" w:sz="0" w:space="0" w:color="auto"/>
            <w:left w:val="none" w:sz="0" w:space="0" w:color="auto"/>
            <w:bottom w:val="none" w:sz="0" w:space="0" w:color="auto"/>
            <w:right w:val="none" w:sz="0" w:space="0" w:color="auto"/>
          </w:divBdr>
        </w:div>
        <w:div w:id="1636400650">
          <w:marLeft w:val="0"/>
          <w:marRight w:val="0"/>
          <w:marTop w:val="0"/>
          <w:marBottom w:val="0"/>
          <w:divBdr>
            <w:top w:val="none" w:sz="0" w:space="0" w:color="auto"/>
            <w:left w:val="none" w:sz="0" w:space="0" w:color="auto"/>
            <w:bottom w:val="none" w:sz="0" w:space="0" w:color="auto"/>
            <w:right w:val="none" w:sz="0" w:space="0" w:color="auto"/>
          </w:divBdr>
        </w:div>
        <w:div w:id="1687826091">
          <w:marLeft w:val="0"/>
          <w:marRight w:val="0"/>
          <w:marTop w:val="0"/>
          <w:marBottom w:val="0"/>
          <w:divBdr>
            <w:top w:val="none" w:sz="0" w:space="0" w:color="auto"/>
            <w:left w:val="none" w:sz="0" w:space="0" w:color="auto"/>
            <w:bottom w:val="none" w:sz="0" w:space="0" w:color="auto"/>
            <w:right w:val="none" w:sz="0" w:space="0" w:color="auto"/>
          </w:divBdr>
        </w:div>
        <w:div w:id="1746761165">
          <w:marLeft w:val="0"/>
          <w:marRight w:val="0"/>
          <w:marTop w:val="0"/>
          <w:marBottom w:val="0"/>
          <w:divBdr>
            <w:top w:val="none" w:sz="0" w:space="0" w:color="auto"/>
            <w:left w:val="none" w:sz="0" w:space="0" w:color="auto"/>
            <w:bottom w:val="none" w:sz="0" w:space="0" w:color="auto"/>
            <w:right w:val="none" w:sz="0" w:space="0" w:color="auto"/>
          </w:divBdr>
        </w:div>
        <w:div w:id="1802183478">
          <w:marLeft w:val="0"/>
          <w:marRight w:val="0"/>
          <w:marTop w:val="0"/>
          <w:marBottom w:val="0"/>
          <w:divBdr>
            <w:top w:val="none" w:sz="0" w:space="0" w:color="auto"/>
            <w:left w:val="none" w:sz="0" w:space="0" w:color="auto"/>
            <w:bottom w:val="none" w:sz="0" w:space="0" w:color="auto"/>
            <w:right w:val="none" w:sz="0" w:space="0" w:color="auto"/>
          </w:divBdr>
        </w:div>
        <w:div w:id="1947929746">
          <w:marLeft w:val="0"/>
          <w:marRight w:val="0"/>
          <w:marTop w:val="0"/>
          <w:marBottom w:val="0"/>
          <w:divBdr>
            <w:top w:val="none" w:sz="0" w:space="0" w:color="auto"/>
            <w:left w:val="none" w:sz="0" w:space="0" w:color="auto"/>
            <w:bottom w:val="none" w:sz="0" w:space="0" w:color="auto"/>
            <w:right w:val="none" w:sz="0" w:space="0" w:color="auto"/>
          </w:divBdr>
        </w:div>
        <w:div w:id="1950120042">
          <w:marLeft w:val="0"/>
          <w:marRight w:val="0"/>
          <w:marTop w:val="0"/>
          <w:marBottom w:val="0"/>
          <w:divBdr>
            <w:top w:val="none" w:sz="0" w:space="0" w:color="auto"/>
            <w:left w:val="none" w:sz="0" w:space="0" w:color="auto"/>
            <w:bottom w:val="none" w:sz="0" w:space="0" w:color="auto"/>
            <w:right w:val="none" w:sz="0" w:space="0" w:color="auto"/>
          </w:divBdr>
        </w:div>
        <w:div w:id="1952474208">
          <w:marLeft w:val="0"/>
          <w:marRight w:val="0"/>
          <w:marTop w:val="0"/>
          <w:marBottom w:val="0"/>
          <w:divBdr>
            <w:top w:val="none" w:sz="0" w:space="0" w:color="auto"/>
            <w:left w:val="none" w:sz="0" w:space="0" w:color="auto"/>
            <w:bottom w:val="none" w:sz="0" w:space="0" w:color="auto"/>
            <w:right w:val="none" w:sz="0" w:space="0" w:color="auto"/>
          </w:divBdr>
        </w:div>
        <w:div w:id="2026782638">
          <w:marLeft w:val="0"/>
          <w:marRight w:val="0"/>
          <w:marTop w:val="0"/>
          <w:marBottom w:val="0"/>
          <w:divBdr>
            <w:top w:val="none" w:sz="0" w:space="0" w:color="auto"/>
            <w:left w:val="none" w:sz="0" w:space="0" w:color="auto"/>
            <w:bottom w:val="none" w:sz="0" w:space="0" w:color="auto"/>
            <w:right w:val="none" w:sz="0" w:space="0" w:color="auto"/>
          </w:divBdr>
        </w:div>
        <w:div w:id="2072918844">
          <w:marLeft w:val="0"/>
          <w:marRight w:val="0"/>
          <w:marTop w:val="0"/>
          <w:marBottom w:val="0"/>
          <w:divBdr>
            <w:top w:val="none" w:sz="0" w:space="0" w:color="auto"/>
            <w:left w:val="none" w:sz="0" w:space="0" w:color="auto"/>
            <w:bottom w:val="none" w:sz="0" w:space="0" w:color="auto"/>
            <w:right w:val="none" w:sz="0" w:space="0" w:color="auto"/>
          </w:divBdr>
        </w:div>
        <w:div w:id="2073119124">
          <w:marLeft w:val="0"/>
          <w:marRight w:val="0"/>
          <w:marTop w:val="0"/>
          <w:marBottom w:val="0"/>
          <w:divBdr>
            <w:top w:val="none" w:sz="0" w:space="0" w:color="auto"/>
            <w:left w:val="none" w:sz="0" w:space="0" w:color="auto"/>
            <w:bottom w:val="none" w:sz="0" w:space="0" w:color="auto"/>
            <w:right w:val="none" w:sz="0" w:space="0" w:color="auto"/>
          </w:divBdr>
        </w:div>
        <w:div w:id="2082290072">
          <w:marLeft w:val="0"/>
          <w:marRight w:val="0"/>
          <w:marTop w:val="0"/>
          <w:marBottom w:val="0"/>
          <w:divBdr>
            <w:top w:val="none" w:sz="0" w:space="0" w:color="auto"/>
            <w:left w:val="none" w:sz="0" w:space="0" w:color="auto"/>
            <w:bottom w:val="none" w:sz="0" w:space="0" w:color="auto"/>
            <w:right w:val="none" w:sz="0" w:space="0" w:color="auto"/>
          </w:divBdr>
        </w:div>
        <w:div w:id="2086224674">
          <w:marLeft w:val="0"/>
          <w:marRight w:val="0"/>
          <w:marTop w:val="0"/>
          <w:marBottom w:val="0"/>
          <w:divBdr>
            <w:top w:val="none" w:sz="0" w:space="0" w:color="auto"/>
            <w:left w:val="none" w:sz="0" w:space="0" w:color="auto"/>
            <w:bottom w:val="none" w:sz="0" w:space="0" w:color="auto"/>
            <w:right w:val="none" w:sz="0" w:space="0" w:color="auto"/>
          </w:divBdr>
        </w:div>
        <w:div w:id="213794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hyperlink" Target="http://www.legislation.gov.uk/ukpga/2000/35/contents" TargetMode="Externa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hyperlink" Target="https://equip-portal.rocstac.com/CtrlWebIsapi.dll/?__id=webDiagram.show&amp;map=0%3AFF2D8D3F16B44268B814F7F8177A16F7&amp;dgm=C2A9945D59504DF99B2F3BC9CAD6F250"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hyperlink" Target="https://www.legislation.gov.uk/ukpga/1989/41/contents" TargetMode="External"/><Relationship Id="rId33" Type="http://schemas.openxmlformats.org/officeDocument/2006/relationships/hyperlink" Target="https://equip-portal.rocstac.com/CtrlWebIsapi.dll/?__id=webDiagram.show&amp;map=0%3A9A63E167DE4B400EA07F81A9271E1944&amp;dgm=719C142C5137472792C9D5A63412D261"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29" Type="http://schemas.openxmlformats.org/officeDocument/2006/relationships/hyperlink" Target="https://equip-portal.rocstac.com/CtrlWebIsapi.dll/?__id=webDiagram.show&amp;map=0%3A9A63E167DE4B400EA07F81A9271E1944&amp;dgm=EDF6402399934EC9B5E04AE0C1A7BCE0"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quip-portal.rocstac.com/CtrlWebIsapi.dll/?__id=webDiagram.show&amp;map=0%3A9A63E167DE4B400EA07F81A9271E1944&amp;dgm=1C1C7ABA94D34A2890D0810236E34B71" TargetMode="External"/><Relationship Id="rId32" Type="http://schemas.openxmlformats.org/officeDocument/2006/relationships/hyperlink" Target="https://equip-portal.rocstac.com/CtrlWebIsapi.dll/?__id=webDiagram.show&amp;map=0%3A9A63E167DE4B400EA07F81A9271E1944&amp;dgm=8724697ACB8C46D8B4AA6282434237C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equip-portal.rocstac.com/CtrlWebIsapi.dll/?__id=webDiagram.show&amp;map=0%3A9A63E167DE4B400EA07F81A9271E1944&amp;dgm=1C1C7ABA94D34A2890D0810236E34B71" TargetMode="External"/><Relationship Id="rId28" Type="http://schemas.openxmlformats.org/officeDocument/2006/relationships/hyperlink" Target="http://www.legislation.gov.uk/uksi/2010/959/contents/mad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hyperlink" Target="https://equip-portal.rocstac.com/CtrlWebIsapi.dll/?__id=webDiagram.show&amp;map=0%3A9A63E167DE4B400EA07F81A9271E1944&amp;dgm=19F0E3FCB746467390BA1D53CFF6ED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yperlink" Target="http://www.legislation.gov.uk/ukpga/2017/16/contents/enacted" TargetMode="External"/><Relationship Id="rId30" Type="http://schemas.openxmlformats.org/officeDocument/2006/relationships/hyperlink" Target="https://equip-portal.rocstac.com/CtrlWebIsapi.dll/?__id=webDiagram.show&amp;map=0%3A9A63E167DE4B400EA07F81A9271E1944&amp;dgm=F637D243FBAC4282A0ABC7BE534A02D6"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9A8876-25AB-4839-9E8E-FB4102C95F87}"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GB"/>
        </a:p>
      </dgm:t>
    </dgm:pt>
    <dgm:pt modelId="{64213E7B-5CC2-48F1-A64B-C7A02A7A04E1}">
      <dgm:prSet phldrT="[Text]"/>
      <dgm:spPr>
        <a:xfrm>
          <a:off x="671140" y="1339"/>
          <a:ext cx="1742591" cy="1045554"/>
        </a:xfrm>
        <a:solidFill>
          <a:srgbClr val="B37DC9"/>
        </a:solidFill>
        <a:ln w="12700" cap="flat" cmpd="sng" algn="ctr">
          <a:solidFill>
            <a:sysClr val="window" lastClr="FFFFFF">
              <a:hueOff val="0"/>
              <a:satOff val="0"/>
              <a:lumOff val="0"/>
              <a:alphaOff val="0"/>
            </a:sysClr>
          </a:solidFill>
          <a:prstDash val="solid"/>
          <a:miter lim="800000"/>
        </a:ln>
        <a:effectLst/>
      </dgm:spPr>
      <dgm:t>
        <a:bodyPr/>
        <a:lstStyle/>
        <a:p>
          <a:pPr algn="ctr"/>
          <a:r>
            <a:rPr lang="en-GB">
              <a:solidFill>
                <a:sysClr val="windowText" lastClr="000000"/>
              </a:solidFill>
              <a:latin typeface="Calibri" panose="020F0502020204030204"/>
              <a:ea typeface="+mn-ea"/>
              <a:cs typeface="+mn-cs"/>
            </a:rPr>
            <a:t>1) National RRP guidance and service specifications are developed and issued</a:t>
          </a:r>
        </a:p>
      </dgm:t>
    </dgm:pt>
    <dgm:pt modelId="{F68AB0C3-76BE-44DC-871A-21BA43ADD45C}" type="parTrans" cxnId="{4E00DFD2-AD11-45FD-B831-3979DBB0227A}">
      <dgm:prSet/>
      <dgm:spPr/>
      <dgm:t>
        <a:bodyPr/>
        <a:lstStyle/>
        <a:p>
          <a:pPr algn="ctr"/>
          <a:endParaRPr lang="en-GB"/>
        </a:p>
      </dgm:t>
    </dgm:pt>
    <dgm:pt modelId="{A6EFE067-36E1-4C4A-BBBA-9360A8CC3952}" type="sibTrans" cxnId="{4E00DFD2-AD11-45FD-B831-3979DBB0227A}">
      <dgm:prSet/>
      <dgm:spPr>
        <a:xfrm>
          <a:off x="2567079" y="308035"/>
          <a:ext cx="369429" cy="432162"/>
        </a:xfrm>
        <a:solidFill>
          <a:srgbClr val="83419D"/>
        </a:solidFill>
        <a:ln>
          <a:noFill/>
        </a:ln>
        <a:effectLst/>
      </dgm:spPr>
      <dgm:t>
        <a:bodyPr/>
        <a:lstStyle/>
        <a:p>
          <a:pPr algn="ctr"/>
          <a:endParaRPr lang="en-GB">
            <a:solidFill>
              <a:sysClr val="window" lastClr="FFFFFF"/>
            </a:solidFill>
            <a:latin typeface="Calibri" panose="020F0502020204030204"/>
            <a:ea typeface="+mn-ea"/>
            <a:cs typeface="+mn-cs"/>
          </a:endParaRPr>
        </a:p>
      </dgm:t>
    </dgm:pt>
    <dgm:pt modelId="{182BD632-7911-4727-B8F8-F3BAAF5903AD}">
      <dgm:prSet phldrT="[Text]"/>
      <dgm:spPr>
        <a:xfrm>
          <a:off x="3110768" y="1339"/>
          <a:ext cx="1742591" cy="1045554"/>
        </a:xfrm>
        <a:solidFill>
          <a:srgbClr val="C092D2"/>
        </a:solidFill>
        <a:ln w="12700" cap="flat" cmpd="sng" algn="ctr">
          <a:solidFill>
            <a:sysClr val="window" lastClr="FFFFFF">
              <a:hueOff val="0"/>
              <a:satOff val="0"/>
              <a:lumOff val="0"/>
              <a:alphaOff val="0"/>
            </a:sysClr>
          </a:solidFill>
          <a:prstDash val="solid"/>
          <a:miter lim="800000"/>
        </a:ln>
        <a:effectLst/>
      </dgm:spPr>
      <dgm:t>
        <a:bodyPr/>
        <a:lstStyle/>
        <a:p>
          <a:pPr algn="ctr"/>
          <a:r>
            <a:rPr lang="en-GB">
              <a:solidFill>
                <a:sysClr val="windowText" lastClr="000000"/>
              </a:solidFill>
              <a:latin typeface="Calibri" panose="020F0502020204030204"/>
              <a:ea typeface="+mn-ea"/>
              <a:cs typeface="+mn-cs"/>
            </a:rPr>
            <a:t>2) Establishment Regime Recovery Meeting to design RRP using EDMs provided </a:t>
          </a:r>
        </a:p>
      </dgm:t>
    </dgm:pt>
    <dgm:pt modelId="{C3599F7E-C89E-4887-A2B1-423210820208}" type="parTrans" cxnId="{530FC019-2204-40FE-8108-49C1CA25BA1E}">
      <dgm:prSet/>
      <dgm:spPr/>
      <dgm:t>
        <a:bodyPr/>
        <a:lstStyle/>
        <a:p>
          <a:pPr algn="ctr"/>
          <a:endParaRPr lang="en-GB"/>
        </a:p>
      </dgm:t>
    </dgm:pt>
    <dgm:pt modelId="{FF631578-AC72-44A4-8F77-92D7F27E1F58}" type="sibTrans" cxnId="{530FC019-2204-40FE-8108-49C1CA25BA1E}">
      <dgm:prSet/>
      <dgm:spPr>
        <a:xfrm rot="5400000">
          <a:off x="3797349" y="1168875"/>
          <a:ext cx="369429" cy="432162"/>
        </a:xfrm>
        <a:solidFill>
          <a:srgbClr val="83419D"/>
        </a:solidFill>
        <a:ln>
          <a:noFill/>
        </a:ln>
        <a:effectLst/>
      </dgm:spPr>
      <dgm:t>
        <a:bodyPr/>
        <a:lstStyle/>
        <a:p>
          <a:pPr algn="ctr"/>
          <a:endParaRPr lang="en-GB">
            <a:solidFill>
              <a:sysClr val="window" lastClr="FFFFFF"/>
            </a:solidFill>
            <a:latin typeface="Calibri" panose="020F0502020204030204"/>
            <a:ea typeface="+mn-ea"/>
            <a:cs typeface="+mn-cs"/>
          </a:endParaRPr>
        </a:p>
      </dgm:t>
    </dgm:pt>
    <dgm:pt modelId="{E41AD86D-1D6E-4A71-87BC-A2EE33CCB898}">
      <dgm:prSet phldrT="[Text]"/>
      <dgm:spPr>
        <a:xfrm>
          <a:off x="3110768" y="1743930"/>
          <a:ext cx="1742591" cy="1045554"/>
        </a:xfrm>
        <a:solidFill>
          <a:srgbClr val="CEACDC"/>
        </a:solidFill>
        <a:ln w="12700" cap="flat" cmpd="sng" algn="ctr">
          <a:solidFill>
            <a:sysClr val="window" lastClr="FFFFFF">
              <a:hueOff val="0"/>
              <a:satOff val="0"/>
              <a:lumOff val="0"/>
              <a:alphaOff val="0"/>
            </a:sysClr>
          </a:solidFill>
          <a:prstDash val="solid"/>
          <a:miter lim="800000"/>
        </a:ln>
        <a:effectLst/>
      </dgm:spPr>
      <dgm:t>
        <a:bodyPr/>
        <a:lstStyle/>
        <a:p>
          <a:pPr algn="ctr"/>
          <a:r>
            <a:rPr lang="en-GB">
              <a:solidFill>
                <a:sysClr val="windowText" lastClr="000000"/>
              </a:solidFill>
              <a:latin typeface="Calibri" panose="020F0502020204030204"/>
              <a:ea typeface="+mn-ea"/>
              <a:cs typeface="+mn-cs"/>
            </a:rPr>
            <a:t>3) Establishment completes Readiness Assessment of establishment </a:t>
          </a:r>
          <a:r>
            <a:rPr lang="en-GB">
              <a:solidFill>
                <a:srgbClr val="FF0000"/>
              </a:solidFill>
              <a:latin typeface="Calibri" panose="020F0502020204030204"/>
              <a:ea typeface="+mn-ea"/>
              <a:cs typeface="+mn-cs"/>
            </a:rPr>
            <a:t>with local POA </a:t>
          </a:r>
          <a:r>
            <a:rPr lang="en-GB">
              <a:solidFill>
                <a:sysClr val="windowText" lastClr="000000"/>
              </a:solidFill>
              <a:latin typeface="Calibri" panose="020F0502020204030204"/>
              <a:ea typeface="+mn-ea"/>
              <a:cs typeface="+mn-cs"/>
            </a:rPr>
            <a:t>and together with RRP this is signed off by regional Silver.</a:t>
          </a:r>
        </a:p>
      </dgm:t>
    </dgm:pt>
    <dgm:pt modelId="{DCC328F2-E9FF-49C9-8109-83684816B84A}" type="parTrans" cxnId="{2DA8DB79-9A72-4359-BD1E-4F4119290EB4}">
      <dgm:prSet/>
      <dgm:spPr/>
      <dgm:t>
        <a:bodyPr/>
        <a:lstStyle/>
        <a:p>
          <a:pPr algn="ctr"/>
          <a:endParaRPr lang="en-GB"/>
        </a:p>
      </dgm:t>
    </dgm:pt>
    <dgm:pt modelId="{B71AAC45-E48D-4E81-B686-FE9C423D6141}" type="sibTrans" cxnId="{2DA8DB79-9A72-4359-BD1E-4F4119290EB4}">
      <dgm:prSet/>
      <dgm:spPr>
        <a:xfrm rot="10800000">
          <a:off x="2587990" y="2050626"/>
          <a:ext cx="369429" cy="432162"/>
        </a:xfrm>
        <a:solidFill>
          <a:srgbClr val="83419D"/>
        </a:solidFill>
        <a:ln>
          <a:noFill/>
        </a:ln>
        <a:effectLst/>
      </dgm:spPr>
      <dgm:t>
        <a:bodyPr/>
        <a:lstStyle/>
        <a:p>
          <a:pPr algn="ctr"/>
          <a:endParaRPr lang="en-GB">
            <a:solidFill>
              <a:sysClr val="window" lastClr="FFFFFF"/>
            </a:solidFill>
            <a:latin typeface="Calibri" panose="020F0502020204030204"/>
            <a:ea typeface="+mn-ea"/>
            <a:cs typeface="+mn-cs"/>
          </a:endParaRPr>
        </a:p>
      </dgm:t>
    </dgm:pt>
    <dgm:pt modelId="{62C4C665-1532-4152-AFCB-4F467809D1AB}">
      <dgm:prSet phldrT="[Text]"/>
      <dgm:spPr>
        <a:xfrm>
          <a:off x="671140" y="1743930"/>
          <a:ext cx="1742591" cy="1045554"/>
        </a:xfrm>
        <a:solidFill>
          <a:srgbClr val="E9D9EF"/>
        </a:solidFill>
        <a:ln w="12700" cap="flat" cmpd="sng" algn="ctr">
          <a:solidFill>
            <a:sysClr val="window" lastClr="FFFFFF">
              <a:hueOff val="0"/>
              <a:satOff val="0"/>
              <a:lumOff val="0"/>
              <a:alphaOff val="0"/>
            </a:sysClr>
          </a:solidFill>
          <a:prstDash val="solid"/>
          <a:miter lim="800000"/>
        </a:ln>
        <a:effectLst/>
      </dgm:spPr>
      <dgm:t>
        <a:bodyPr/>
        <a:lstStyle/>
        <a:p>
          <a:pPr algn="ctr"/>
          <a:r>
            <a:rPr lang="en-GB">
              <a:solidFill>
                <a:sysClr val="windowText" lastClr="000000"/>
              </a:solidFill>
              <a:latin typeface="Calibri" panose="020F0502020204030204"/>
              <a:ea typeface="+mn-ea"/>
              <a:cs typeface="+mn-cs"/>
            </a:rPr>
            <a:t>4) National panel (Recovery Committee) signs off readiness assessment and approves commencement of recovery phase</a:t>
          </a:r>
        </a:p>
      </dgm:t>
    </dgm:pt>
    <dgm:pt modelId="{69E0C485-7955-4836-BC43-D1BD0FC020C0}" type="parTrans" cxnId="{E9632E72-42F8-434C-AD7D-9EC93346EC92}">
      <dgm:prSet/>
      <dgm:spPr/>
      <dgm:t>
        <a:bodyPr/>
        <a:lstStyle/>
        <a:p>
          <a:pPr algn="ctr"/>
          <a:endParaRPr lang="en-GB"/>
        </a:p>
      </dgm:t>
    </dgm:pt>
    <dgm:pt modelId="{35CB2F69-910A-49AE-83B2-605C5693D324}" type="sibTrans" cxnId="{E9632E72-42F8-434C-AD7D-9EC93346EC92}">
      <dgm:prSet/>
      <dgm:spPr/>
      <dgm:t>
        <a:bodyPr/>
        <a:lstStyle/>
        <a:p>
          <a:pPr algn="ctr"/>
          <a:endParaRPr lang="en-GB"/>
        </a:p>
      </dgm:t>
    </dgm:pt>
    <dgm:pt modelId="{55982F30-1880-462A-AD09-04EB55E052AB}" type="pres">
      <dgm:prSet presAssocID="{819A8876-25AB-4839-9E8E-FB4102C95F87}" presName="diagram" presStyleCnt="0">
        <dgm:presLayoutVars>
          <dgm:dir/>
          <dgm:resizeHandles val="exact"/>
        </dgm:presLayoutVars>
      </dgm:prSet>
      <dgm:spPr/>
    </dgm:pt>
    <dgm:pt modelId="{1CDD6594-2AFC-4616-8F40-577B3B03D287}" type="pres">
      <dgm:prSet presAssocID="{64213E7B-5CC2-48F1-A64B-C7A02A7A04E1}" presName="node" presStyleLbl="node1" presStyleIdx="0" presStyleCnt="4">
        <dgm:presLayoutVars>
          <dgm:bulletEnabled val="1"/>
        </dgm:presLayoutVars>
      </dgm:prSet>
      <dgm:spPr>
        <a:prstGeom prst="roundRect">
          <a:avLst>
            <a:gd name="adj" fmla="val 10000"/>
          </a:avLst>
        </a:prstGeom>
      </dgm:spPr>
    </dgm:pt>
    <dgm:pt modelId="{2C2D9080-90CF-4795-AF12-D6234B1B61BA}" type="pres">
      <dgm:prSet presAssocID="{A6EFE067-36E1-4C4A-BBBA-9360A8CC3952}" presName="sibTrans" presStyleLbl="sibTrans2D1" presStyleIdx="0" presStyleCnt="3" custLinFactNeighborX="12892" custLinFactNeighborY="-2204"/>
      <dgm:spPr>
        <a:prstGeom prst="rightArrow">
          <a:avLst>
            <a:gd name="adj1" fmla="val 60000"/>
            <a:gd name="adj2" fmla="val 50000"/>
          </a:avLst>
        </a:prstGeom>
      </dgm:spPr>
    </dgm:pt>
    <dgm:pt modelId="{A53CF881-C462-4AD3-B513-E0803507D68C}" type="pres">
      <dgm:prSet presAssocID="{A6EFE067-36E1-4C4A-BBBA-9360A8CC3952}" presName="connectorText" presStyleLbl="sibTrans2D1" presStyleIdx="0" presStyleCnt="3"/>
      <dgm:spPr/>
    </dgm:pt>
    <dgm:pt modelId="{21E196B8-750B-48BA-B9AA-6AD2A1C9C9DD}" type="pres">
      <dgm:prSet presAssocID="{182BD632-7911-4727-B8F8-F3BAAF5903AD}" presName="node" presStyleLbl="node1" presStyleIdx="1" presStyleCnt="4">
        <dgm:presLayoutVars>
          <dgm:bulletEnabled val="1"/>
        </dgm:presLayoutVars>
      </dgm:prSet>
      <dgm:spPr>
        <a:prstGeom prst="roundRect">
          <a:avLst>
            <a:gd name="adj" fmla="val 10000"/>
          </a:avLst>
        </a:prstGeom>
      </dgm:spPr>
    </dgm:pt>
    <dgm:pt modelId="{5881CD31-BB7C-4AF3-BF83-E4EAB93FFF48}" type="pres">
      <dgm:prSet presAssocID="{FF631578-AC72-44A4-8F77-92D7F27E1F58}" presName="sibTrans" presStyleLbl="sibTrans2D1" presStyleIdx="1" presStyleCnt="3"/>
      <dgm:spPr>
        <a:prstGeom prst="rightArrow">
          <a:avLst>
            <a:gd name="adj1" fmla="val 60000"/>
            <a:gd name="adj2" fmla="val 50000"/>
          </a:avLst>
        </a:prstGeom>
      </dgm:spPr>
    </dgm:pt>
    <dgm:pt modelId="{90592B80-C6A7-4857-B27B-96498C1D8EA9}" type="pres">
      <dgm:prSet presAssocID="{FF631578-AC72-44A4-8F77-92D7F27E1F58}" presName="connectorText" presStyleLbl="sibTrans2D1" presStyleIdx="1" presStyleCnt="3"/>
      <dgm:spPr/>
    </dgm:pt>
    <dgm:pt modelId="{663F1A3F-201E-4B80-A4CB-00DC5C503D9B}" type="pres">
      <dgm:prSet presAssocID="{E41AD86D-1D6E-4A71-87BC-A2EE33CCB898}" presName="node" presStyleLbl="node1" presStyleIdx="2" presStyleCnt="4">
        <dgm:presLayoutVars>
          <dgm:bulletEnabled val="1"/>
        </dgm:presLayoutVars>
      </dgm:prSet>
      <dgm:spPr>
        <a:prstGeom prst="roundRect">
          <a:avLst>
            <a:gd name="adj" fmla="val 10000"/>
          </a:avLst>
        </a:prstGeom>
      </dgm:spPr>
    </dgm:pt>
    <dgm:pt modelId="{8C398244-CE5E-4214-87B4-8307F6F1F091}" type="pres">
      <dgm:prSet presAssocID="{B71AAC45-E48D-4E81-B686-FE9C423D6141}" presName="sibTrans" presStyleLbl="sibTrans2D1" presStyleIdx="2" presStyleCnt="3" custLinFactNeighborX="-10313" custLinFactNeighborY="2204"/>
      <dgm:spPr>
        <a:prstGeom prst="rightArrow">
          <a:avLst>
            <a:gd name="adj1" fmla="val 60000"/>
            <a:gd name="adj2" fmla="val 50000"/>
          </a:avLst>
        </a:prstGeom>
      </dgm:spPr>
    </dgm:pt>
    <dgm:pt modelId="{BF67E713-E70B-4608-99E5-F3D1C63BCD16}" type="pres">
      <dgm:prSet presAssocID="{B71AAC45-E48D-4E81-B686-FE9C423D6141}" presName="connectorText" presStyleLbl="sibTrans2D1" presStyleIdx="2" presStyleCnt="3"/>
      <dgm:spPr/>
    </dgm:pt>
    <dgm:pt modelId="{1C5859C7-6388-4D9F-A9A7-C0D3DF2F17BA}" type="pres">
      <dgm:prSet presAssocID="{62C4C665-1532-4152-AFCB-4F467809D1AB}" presName="node" presStyleLbl="node1" presStyleIdx="3" presStyleCnt="4">
        <dgm:presLayoutVars>
          <dgm:bulletEnabled val="1"/>
        </dgm:presLayoutVars>
      </dgm:prSet>
      <dgm:spPr>
        <a:prstGeom prst="roundRect">
          <a:avLst>
            <a:gd name="adj" fmla="val 10000"/>
          </a:avLst>
        </a:prstGeom>
      </dgm:spPr>
    </dgm:pt>
  </dgm:ptLst>
  <dgm:cxnLst>
    <dgm:cxn modelId="{D0B73105-4007-4581-A50F-B0E2973EFE61}" type="presOf" srcId="{A6EFE067-36E1-4C4A-BBBA-9360A8CC3952}" destId="{A53CF881-C462-4AD3-B513-E0803507D68C}" srcOrd="1" destOrd="0" presId="urn:microsoft.com/office/officeart/2005/8/layout/process5"/>
    <dgm:cxn modelId="{530FC019-2204-40FE-8108-49C1CA25BA1E}" srcId="{819A8876-25AB-4839-9E8E-FB4102C95F87}" destId="{182BD632-7911-4727-B8F8-F3BAAF5903AD}" srcOrd="1" destOrd="0" parTransId="{C3599F7E-C89E-4887-A2B1-423210820208}" sibTransId="{FF631578-AC72-44A4-8F77-92D7F27E1F58}"/>
    <dgm:cxn modelId="{89F3211E-D1FC-4AA5-81A0-C1AA8018BA98}" type="presOf" srcId="{A6EFE067-36E1-4C4A-BBBA-9360A8CC3952}" destId="{2C2D9080-90CF-4795-AF12-D6234B1B61BA}" srcOrd="0" destOrd="0" presId="urn:microsoft.com/office/officeart/2005/8/layout/process5"/>
    <dgm:cxn modelId="{E04E4446-6431-454A-BA66-1103456495C2}" type="presOf" srcId="{E41AD86D-1D6E-4A71-87BC-A2EE33CCB898}" destId="{663F1A3F-201E-4B80-A4CB-00DC5C503D9B}" srcOrd="0" destOrd="0" presId="urn:microsoft.com/office/officeart/2005/8/layout/process5"/>
    <dgm:cxn modelId="{6C78716D-2E3D-4DC8-9298-1E0FBCF1DD3D}" type="presOf" srcId="{FF631578-AC72-44A4-8F77-92D7F27E1F58}" destId="{5881CD31-BB7C-4AF3-BF83-E4EAB93FFF48}" srcOrd="0" destOrd="0" presId="urn:microsoft.com/office/officeart/2005/8/layout/process5"/>
    <dgm:cxn modelId="{B5903E6E-C27D-431E-A281-DCB7FAAC2D02}" type="presOf" srcId="{FF631578-AC72-44A4-8F77-92D7F27E1F58}" destId="{90592B80-C6A7-4857-B27B-96498C1D8EA9}" srcOrd="1" destOrd="0" presId="urn:microsoft.com/office/officeart/2005/8/layout/process5"/>
    <dgm:cxn modelId="{E9632E72-42F8-434C-AD7D-9EC93346EC92}" srcId="{819A8876-25AB-4839-9E8E-FB4102C95F87}" destId="{62C4C665-1532-4152-AFCB-4F467809D1AB}" srcOrd="3" destOrd="0" parTransId="{69E0C485-7955-4836-BC43-D1BD0FC020C0}" sibTransId="{35CB2F69-910A-49AE-83B2-605C5693D324}"/>
    <dgm:cxn modelId="{2DA8DB79-9A72-4359-BD1E-4F4119290EB4}" srcId="{819A8876-25AB-4839-9E8E-FB4102C95F87}" destId="{E41AD86D-1D6E-4A71-87BC-A2EE33CCB898}" srcOrd="2" destOrd="0" parTransId="{DCC328F2-E9FF-49C9-8109-83684816B84A}" sibTransId="{B71AAC45-E48D-4E81-B686-FE9C423D6141}"/>
    <dgm:cxn modelId="{C703CD5A-E15C-4122-9C00-9810FDBAD46D}" type="presOf" srcId="{B71AAC45-E48D-4E81-B686-FE9C423D6141}" destId="{8C398244-CE5E-4214-87B4-8307F6F1F091}" srcOrd="0" destOrd="0" presId="urn:microsoft.com/office/officeart/2005/8/layout/process5"/>
    <dgm:cxn modelId="{610902A1-3C6D-463E-9EC8-2A8D29D1C950}" type="presOf" srcId="{62C4C665-1532-4152-AFCB-4F467809D1AB}" destId="{1C5859C7-6388-4D9F-A9A7-C0D3DF2F17BA}" srcOrd="0" destOrd="0" presId="urn:microsoft.com/office/officeart/2005/8/layout/process5"/>
    <dgm:cxn modelId="{470FE5A8-81A7-4C28-99D8-95914CA6F79B}" type="presOf" srcId="{64213E7B-5CC2-48F1-A64B-C7A02A7A04E1}" destId="{1CDD6594-2AFC-4616-8F40-577B3B03D287}" srcOrd="0" destOrd="0" presId="urn:microsoft.com/office/officeart/2005/8/layout/process5"/>
    <dgm:cxn modelId="{E86FD0AC-DD26-44D2-9823-5A4A54605338}" type="presOf" srcId="{819A8876-25AB-4839-9E8E-FB4102C95F87}" destId="{55982F30-1880-462A-AD09-04EB55E052AB}" srcOrd="0" destOrd="0" presId="urn:microsoft.com/office/officeart/2005/8/layout/process5"/>
    <dgm:cxn modelId="{C40B5AC3-DDD7-4D14-A99B-69D7394965D2}" type="presOf" srcId="{B71AAC45-E48D-4E81-B686-FE9C423D6141}" destId="{BF67E713-E70B-4608-99E5-F3D1C63BCD16}" srcOrd="1" destOrd="0" presId="urn:microsoft.com/office/officeart/2005/8/layout/process5"/>
    <dgm:cxn modelId="{201BE2CB-8FED-4B2F-ACD2-5D9327FBA34E}" type="presOf" srcId="{182BD632-7911-4727-B8F8-F3BAAF5903AD}" destId="{21E196B8-750B-48BA-B9AA-6AD2A1C9C9DD}" srcOrd="0" destOrd="0" presId="urn:microsoft.com/office/officeart/2005/8/layout/process5"/>
    <dgm:cxn modelId="{4E00DFD2-AD11-45FD-B831-3979DBB0227A}" srcId="{819A8876-25AB-4839-9E8E-FB4102C95F87}" destId="{64213E7B-5CC2-48F1-A64B-C7A02A7A04E1}" srcOrd="0" destOrd="0" parTransId="{F68AB0C3-76BE-44DC-871A-21BA43ADD45C}" sibTransId="{A6EFE067-36E1-4C4A-BBBA-9360A8CC3952}"/>
    <dgm:cxn modelId="{298D5515-6714-4506-A0D0-A3561DDF48FD}" type="presParOf" srcId="{55982F30-1880-462A-AD09-04EB55E052AB}" destId="{1CDD6594-2AFC-4616-8F40-577B3B03D287}" srcOrd="0" destOrd="0" presId="urn:microsoft.com/office/officeart/2005/8/layout/process5"/>
    <dgm:cxn modelId="{6B079942-E812-4251-B120-87FAF2FD618A}" type="presParOf" srcId="{55982F30-1880-462A-AD09-04EB55E052AB}" destId="{2C2D9080-90CF-4795-AF12-D6234B1B61BA}" srcOrd="1" destOrd="0" presId="urn:microsoft.com/office/officeart/2005/8/layout/process5"/>
    <dgm:cxn modelId="{E05E7926-9202-4F6F-A1DF-3BD00B964341}" type="presParOf" srcId="{2C2D9080-90CF-4795-AF12-D6234B1B61BA}" destId="{A53CF881-C462-4AD3-B513-E0803507D68C}" srcOrd="0" destOrd="0" presId="urn:microsoft.com/office/officeart/2005/8/layout/process5"/>
    <dgm:cxn modelId="{B100B0E6-D07A-4709-9C64-31E31F73BA7C}" type="presParOf" srcId="{55982F30-1880-462A-AD09-04EB55E052AB}" destId="{21E196B8-750B-48BA-B9AA-6AD2A1C9C9DD}" srcOrd="2" destOrd="0" presId="urn:microsoft.com/office/officeart/2005/8/layout/process5"/>
    <dgm:cxn modelId="{48F6B7FB-7EBA-495D-AD0D-B7C76437DB2A}" type="presParOf" srcId="{55982F30-1880-462A-AD09-04EB55E052AB}" destId="{5881CD31-BB7C-4AF3-BF83-E4EAB93FFF48}" srcOrd="3" destOrd="0" presId="urn:microsoft.com/office/officeart/2005/8/layout/process5"/>
    <dgm:cxn modelId="{D1102BFA-2E01-41EA-8F93-0165453CE8E9}" type="presParOf" srcId="{5881CD31-BB7C-4AF3-BF83-E4EAB93FFF48}" destId="{90592B80-C6A7-4857-B27B-96498C1D8EA9}" srcOrd="0" destOrd="0" presId="urn:microsoft.com/office/officeart/2005/8/layout/process5"/>
    <dgm:cxn modelId="{F2B0C271-697B-4686-8188-C32907B81A53}" type="presParOf" srcId="{55982F30-1880-462A-AD09-04EB55E052AB}" destId="{663F1A3F-201E-4B80-A4CB-00DC5C503D9B}" srcOrd="4" destOrd="0" presId="urn:microsoft.com/office/officeart/2005/8/layout/process5"/>
    <dgm:cxn modelId="{792819C0-4D09-4D54-B0D5-3A75CC1F36EB}" type="presParOf" srcId="{55982F30-1880-462A-AD09-04EB55E052AB}" destId="{8C398244-CE5E-4214-87B4-8307F6F1F091}" srcOrd="5" destOrd="0" presId="urn:microsoft.com/office/officeart/2005/8/layout/process5"/>
    <dgm:cxn modelId="{0093579A-56DE-4A64-8E8E-61C5427081C4}" type="presParOf" srcId="{8C398244-CE5E-4214-87B4-8307F6F1F091}" destId="{BF67E713-E70B-4608-99E5-F3D1C63BCD16}" srcOrd="0" destOrd="0" presId="urn:microsoft.com/office/officeart/2005/8/layout/process5"/>
    <dgm:cxn modelId="{A17C8119-4967-4972-902F-A86B11277B61}" type="presParOf" srcId="{55982F30-1880-462A-AD09-04EB55E052AB}" destId="{1C5859C7-6388-4D9F-A9A7-C0D3DF2F17BA}" srcOrd="6" destOrd="0" presId="urn:microsoft.com/office/officeart/2005/8/layout/process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DD6594-2AFC-4616-8F40-577B3B03D287}">
      <dsp:nvSpPr>
        <dsp:cNvPr id="0" name=""/>
        <dsp:cNvSpPr/>
      </dsp:nvSpPr>
      <dsp:spPr>
        <a:xfrm>
          <a:off x="671140" y="1339"/>
          <a:ext cx="1742591" cy="1045554"/>
        </a:xfrm>
        <a:prstGeom prst="roundRect">
          <a:avLst>
            <a:gd name="adj" fmla="val 10000"/>
          </a:avLst>
        </a:prstGeom>
        <a:solidFill>
          <a:srgbClr val="B37DC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Calibri" panose="020F0502020204030204"/>
              <a:ea typeface="+mn-ea"/>
              <a:cs typeface="+mn-cs"/>
            </a:rPr>
            <a:t>1) National RRP guidance and service specifications are developed and issued</a:t>
          </a:r>
        </a:p>
      </dsp:txBody>
      <dsp:txXfrm>
        <a:off x="701763" y="31962"/>
        <a:ext cx="1681345" cy="984308"/>
      </dsp:txXfrm>
    </dsp:sp>
    <dsp:sp modelId="{2C2D9080-90CF-4795-AF12-D6234B1B61BA}">
      <dsp:nvSpPr>
        <dsp:cNvPr id="0" name=""/>
        <dsp:cNvSpPr/>
      </dsp:nvSpPr>
      <dsp:spPr>
        <a:xfrm>
          <a:off x="2614706" y="298510"/>
          <a:ext cx="369429" cy="432162"/>
        </a:xfrm>
        <a:prstGeom prst="rightArrow">
          <a:avLst>
            <a:gd name="adj1" fmla="val 60000"/>
            <a:gd name="adj2" fmla="val 50000"/>
          </a:avLst>
        </a:prstGeom>
        <a:solidFill>
          <a:srgbClr val="83419D"/>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a:off x="2614706" y="384942"/>
        <a:ext cx="258600" cy="259298"/>
      </dsp:txXfrm>
    </dsp:sp>
    <dsp:sp modelId="{21E196B8-750B-48BA-B9AA-6AD2A1C9C9DD}">
      <dsp:nvSpPr>
        <dsp:cNvPr id="0" name=""/>
        <dsp:cNvSpPr/>
      </dsp:nvSpPr>
      <dsp:spPr>
        <a:xfrm>
          <a:off x="3110768" y="1339"/>
          <a:ext cx="1742591" cy="1045554"/>
        </a:xfrm>
        <a:prstGeom prst="roundRect">
          <a:avLst>
            <a:gd name="adj" fmla="val 10000"/>
          </a:avLst>
        </a:prstGeom>
        <a:solidFill>
          <a:srgbClr val="C092D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Calibri" panose="020F0502020204030204"/>
              <a:ea typeface="+mn-ea"/>
              <a:cs typeface="+mn-cs"/>
            </a:rPr>
            <a:t>2) Establishment Regime Recovery Meeting to design RRP using EDMs provided </a:t>
          </a:r>
        </a:p>
      </dsp:txBody>
      <dsp:txXfrm>
        <a:off x="3141391" y="31962"/>
        <a:ext cx="1681345" cy="984308"/>
      </dsp:txXfrm>
    </dsp:sp>
    <dsp:sp modelId="{5881CD31-BB7C-4AF3-BF83-E4EAB93FFF48}">
      <dsp:nvSpPr>
        <dsp:cNvPr id="0" name=""/>
        <dsp:cNvSpPr/>
      </dsp:nvSpPr>
      <dsp:spPr>
        <a:xfrm rot="5400000">
          <a:off x="3797349" y="1168875"/>
          <a:ext cx="369429" cy="432162"/>
        </a:xfrm>
        <a:prstGeom prst="rightArrow">
          <a:avLst>
            <a:gd name="adj1" fmla="val 60000"/>
            <a:gd name="adj2" fmla="val 50000"/>
          </a:avLst>
        </a:prstGeom>
        <a:solidFill>
          <a:srgbClr val="83419D"/>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5400000">
        <a:off x="3852415" y="1200242"/>
        <a:ext cx="259298" cy="258600"/>
      </dsp:txXfrm>
    </dsp:sp>
    <dsp:sp modelId="{663F1A3F-201E-4B80-A4CB-00DC5C503D9B}">
      <dsp:nvSpPr>
        <dsp:cNvPr id="0" name=""/>
        <dsp:cNvSpPr/>
      </dsp:nvSpPr>
      <dsp:spPr>
        <a:xfrm>
          <a:off x="3110768" y="1743930"/>
          <a:ext cx="1742591" cy="1045554"/>
        </a:xfrm>
        <a:prstGeom prst="roundRect">
          <a:avLst>
            <a:gd name="adj" fmla="val 10000"/>
          </a:avLst>
        </a:prstGeom>
        <a:solidFill>
          <a:srgbClr val="CEACD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Calibri" panose="020F0502020204030204"/>
              <a:ea typeface="+mn-ea"/>
              <a:cs typeface="+mn-cs"/>
            </a:rPr>
            <a:t>3) Establishment completes Readiness Assessment of establishment </a:t>
          </a:r>
          <a:r>
            <a:rPr lang="en-GB" sz="1000" kern="1200">
              <a:solidFill>
                <a:srgbClr val="FF0000"/>
              </a:solidFill>
              <a:latin typeface="Calibri" panose="020F0502020204030204"/>
              <a:ea typeface="+mn-ea"/>
              <a:cs typeface="+mn-cs"/>
            </a:rPr>
            <a:t>with local POA </a:t>
          </a:r>
          <a:r>
            <a:rPr lang="en-GB" sz="1000" kern="1200">
              <a:solidFill>
                <a:sysClr val="windowText" lastClr="000000"/>
              </a:solidFill>
              <a:latin typeface="Calibri" panose="020F0502020204030204"/>
              <a:ea typeface="+mn-ea"/>
              <a:cs typeface="+mn-cs"/>
            </a:rPr>
            <a:t>and together with RRP this is signed off by regional Silver.</a:t>
          </a:r>
        </a:p>
      </dsp:txBody>
      <dsp:txXfrm>
        <a:off x="3141391" y="1774553"/>
        <a:ext cx="1681345" cy="984308"/>
      </dsp:txXfrm>
    </dsp:sp>
    <dsp:sp modelId="{8C398244-CE5E-4214-87B4-8307F6F1F091}">
      <dsp:nvSpPr>
        <dsp:cNvPr id="0" name=""/>
        <dsp:cNvSpPr/>
      </dsp:nvSpPr>
      <dsp:spPr>
        <a:xfrm rot="10800000">
          <a:off x="2549891" y="2060151"/>
          <a:ext cx="369429" cy="432162"/>
        </a:xfrm>
        <a:prstGeom prst="rightArrow">
          <a:avLst>
            <a:gd name="adj1" fmla="val 60000"/>
            <a:gd name="adj2" fmla="val 50000"/>
          </a:avLst>
        </a:prstGeom>
        <a:solidFill>
          <a:srgbClr val="83419D"/>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10800000">
        <a:off x="2660720" y="2146583"/>
        <a:ext cx="258600" cy="259298"/>
      </dsp:txXfrm>
    </dsp:sp>
    <dsp:sp modelId="{1C5859C7-6388-4D9F-A9A7-C0D3DF2F17BA}">
      <dsp:nvSpPr>
        <dsp:cNvPr id="0" name=""/>
        <dsp:cNvSpPr/>
      </dsp:nvSpPr>
      <dsp:spPr>
        <a:xfrm>
          <a:off x="671140" y="1743930"/>
          <a:ext cx="1742591" cy="1045554"/>
        </a:xfrm>
        <a:prstGeom prst="roundRect">
          <a:avLst>
            <a:gd name="adj" fmla="val 10000"/>
          </a:avLst>
        </a:prstGeom>
        <a:solidFill>
          <a:srgbClr val="E9D9E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Calibri" panose="020F0502020204030204"/>
              <a:ea typeface="+mn-ea"/>
              <a:cs typeface="+mn-cs"/>
            </a:rPr>
            <a:t>4) National panel (Recovery Committee) signs off readiness assessment and approves commencement of recovery phase</a:t>
          </a:r>
        </a:p>
      </dsp:txBody>
      <dsp:txXfrm>
        <a:off x="701763" y="1774553"/>
        <a:ext cx="1681345" cy="9843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E49F61C34FE444A20E12D4A7262CF4" ma:contentTypeVersion="8" ma:contentTypeDescription="Create a new document." ma:contentTypeScope="" ma:versionID="352b464d25a4676dc084fa2e0c000150">
  <xsd:schema xmlns:xsd="http://www.w3.org/2001/XMLSchema" xmlns:xs="http://www.w3.org/2001/XMLSchema" xmlns:p="http://schemas.microsoft.com/office/2006/metadata/properties" xmlns:ns3="9aa83ae7-633f-41d2-9176-0a4dd7fefef1" targetNamespace="http://schemas.microsoft.com/office/2006/metadata/properties" ma:root="true" ma:fieldsID="395f2a1c43f18a6954e885b3ccfd560e" ns3:_="">
    <xsd:import namespace="9aa83ae7-633f-41d2-9176-0a4dd7fefe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83ae7-633f-41d2-9176-0a4dd7fef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512CE10-3B59-4264-9A05-CE285072CF92}">
  <ds:schemaRefs>
    <ds:schemaRef ds:uri="9aa83ae7-633f-41d2-9176-0a4dd7fefef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6E2431F-1895-4927-81CF-EFA34E03838B}">
  <ds:schemaRefs>
    <ds:schemaRef ds:uri="http://schemas.microsoft.com/sharepoint/v3/contenttype/forms"/>
  </ds:schemaRefs>
</ds:datastoreItem>
</file>

<file path=customXml/itemProps3.xml><?xml version="1.0" encoding="utf-8"?>
<ds:datastoreItem xmlns:ds="http://schemas.openxmlformats.org/officeDocument/2006/customXml" ds:itemID="{E87DC601-309A-4A4C-B956-940BFD65D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83ae7-633f-41d2-9176-0a4dd7fef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D1D93C-14A8-47BD-AC9D-B244CDF6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3814</Words>
  <Characters>21742</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Milosz [HMPS]</dc:creator>
  <cp:keywords/>
  <dc:description/>
  <cp:lastModifiedBy>Briggs, Neale</cp:lastModifiedBy>
  <cp:revision>2</cp:revision>
  <dcterms:created xsi:type="dcterms:W3CDTF">2020-07-06T16:51:00Z</dcterms:created>
  <dcterms:modified xsi:type="dcterms:W3CDTF">2020-07-06T16:51:00Z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0x01010055E49F61C34FE444A20E12D4A7262CF4</vt:lpwstr>
  </property>
</Properties>
</file>