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CC" w:rsidRPr="00586198" w:rsidRDefault="00BD1876">
      <w:pPr>
        <w:rPr>
          <w:b/>
          <w:sz w:val="24"/>
          <w:szCs w:val="24"/>
        </w:rPr>
      </w:pPr>
      <w:bookmarkStart w:id="0" w:name="_GoBack"/>
      <w:bookmarkEnd w:id="0"/>
      <w:r w:rsidRPr="00BD1876">
        <w:rPr>
          <w:b/>
          <w:sz w:val="24"/>
          <w:szCs w:val="24"/>
        </w:rPr>
        <w:t>Guidance</w:t>
      </w:r>
      <w:r w:rsidR="009E43CC" w:rsidRPr="00BD1876">
        <w:rPr>
          <w:b/>
          <w:sz w:val="24"/>
          <w:szCs w:val="24"/>
        </w:rPr>
        <w:t xml:space="preserve"> for Negotiators </w:t>
      </w:r>
      <w:r w:rsidRPr="00BD1876">
        <w:rPr>
          <w:b/>
          <w:sz w:val="24"/>
          <w:szCs w:val="24"/>
        </w:rPr>
        <w:t>during</w:t>
      </w:r>
      <w:r w:rsidR="009E43CC" w:rsidRPr="00BD1876">
        <w:rPr>
          <w:b/>
          <w:sz w:val="24"/>
          <w:szCs w:val="24"/>
        </w:rPr>
        <w:t xml:space="preserve"> Covid19</w:t>
      </w:r>
    </w:p>
    <w:p w:rsidR="009E43CC" w:rsidRDefault="009E43CC">
      <w:r>
        <w:t>The primary risk reduction actions to prevent the spread of coronavirus are to wash hands frequently, avoid touching your</w:t>
      </w:r>
      <w:r w:rsidR="00020C99">
        <w:t xml:space="preserve"> face and to observe the GOV.UK</w:t>
      </w:r>
      <w:r>
        <w:t xml:space="preserve"> social distancing rule.</w:t>
      </w:r>
      <w:r w:rsidR="00000A04">
        <w:t xml:space="preserve"> These rules continue to apply to negotiation situations.</w:t>
      </w:r>
    </w:p>
    <w:p w:rsidR="00000A04" w:rsidRDefault="00000A04" w:rsidP="006D6791">
      <w:pPr>
        <w:pStyle w:val="Heading2"/>
      </w:pPr>
      <w:r>
        <w:t>Negotiator to Perpetrator(s) Communication</w:t>
      </w:r>
    </w:p>
    <w:p w:rsidR="009E43CC" w:rsidRDefault="009E43CC">
      <w:r>
        <w:t>The normal operating procedure for negotiation during a serious incident is to stand well back from the scene to ensure personal safety. This should ensure social distancing occurs as a natural consequence of adopting good negotiation practice.</w:t>
      </w:r>
    </w:p>
    <w:p w:rsidR="00000A04" w:rsidRDefault="00000A04">
      <w:r>
        <w:t>T</w:t>
      </w:r>
      <w:r w:rsidR="009E43CC">
        <w:t xml:space="preserve">here may be some situations where social distancing is more difficult to achieve – for example when negotiating in a narrow space such as a landing or stairwell. </w:t>
      </w:r>
      <w:r>
        <w:t xml:space="preserve"> The first choice should be to seek ways to rearrange the negotiation scene to ensure social distancing is observed. </w:t>
      </w:r>
      <w:r w:rsidR="00020C99">
        <w:t>In this instance, a dynamic risk assessment will be undertaken.</w:t>
      </w:r>
    </w:p>
    <w:p w:rsidR="00000A04" w:rsidRDefault="00000A04">
      <w:r>
        <w:t>The negative impact of PPE on communication should be considered and mitigated where possible.</w:t>
      </w:r>
    </w:p>
    <w:p w:rsidR="00000A04" w:rsidRDefault="00020C99">
      <w:r>
        <w:t xml:space="preserve">Where </w:t>
      </w:r>
      <w:r w:rsidR="00000A04">
        <w:t>maint</w:t>
      </w:r>
      <w:r>
        <w:t>ain</w:t>
      </w:r>
      <w:r w:rsidR="00586198">
        <w:t>ing the GO</w:t>
      </w:r>
      <w:r>
        <w:t>V.UK social distance is not achievable</w:t>
      </w:r>
      <w:r w:rsidR="00000A04">
        <w:t xml:space="preserve"> and in these</w:t>
      </w:r>
      <w:r w:rsidR="009E43CC">
        <w:t xml:space="preserve"> circumstances it is for the Silver commander to make decisions about issuing of PPE</w:t>
      </w:r>
      <w:r>
        <w:t xml:space="preserve">. Details of the application of hygiene measures and PPE are contained within the current relevant SOP </w:t>
      </w:r>
      <w:r w:rsidR="008E7FE7">
        <w:t>(Operational</w:t>
      </w:r>
      <w:r>
        <w:t xml:space="preserve"> tasks including sub 2 metre contact for sustained and unavoidable tasks). All current and published SOPs are available via the following link:</w:t>
      </w:r>
    </w:p>
    <w:p w:rsidR="008E7FE7" w:rsidRDefault="004672AA" w:rsidP="008E7FE7">
      <w:pPr>
        <w:rPr>
          <w:color w:val="1F497D"/>
        </w:rPr>
      </w:pPr>
      <w:hyperlink r:id="rId4" w:history="1">
        <w:r w:rsidR="008E7FE7">
          <w:rPr>
            <w:rStyle w:val="Hyperlink"/>
          </w:rPr>
          <w:t>https://hmppsintranet.org.uk/except/</w:t>
        </w:r>
      </w:hyperlink>
    </w:p>
    <w:p w:rsidR="00020C99" w:rsidRDefault="008E7FE7">
      <w:r>
        <w:t>PPE is specified as:</w:t>
      </w:r>
    </w:p>
    <w:p w:rsidR="008E7FE7" w:rsidRDefault="008E7FE7">
      <w:r>
        <w:t>1. Surgical Mask</w:t>
      </w:r>
    </w:p>
    <w:p w:rsidR="008E7FE7" w:rsidRDefault="008E7FE7">
      <w:r>
        <w:t>2. Nitrile Gloves</w:t>
      </w:r>
    </w:p>
    <w:p w:rsidR="008E7FE7" w:rsidRDefault="008E7FE7">
      <w:r>
        <w:t xml:space="preserve">3. Disposable Apron </w:t>
      </w:r>
    </w:p>
    <w:p w:rsidR="008E7FE7" w:rsidRDefault="008E7FE7">
      <w:r>
        <w:t>4. Eye Protection (where there is a risk of spitting/bodily fluids)</w:t>
      </w:r>
    </w:p>
    <w:p w:rsidR="008E7FE7" w:rsidRDefault="008E7FE7">
      <w:r>
        <w:t>Hygiene Specifications include alcohol hand gels containing at least 60% alcohol content.</w:t>
      </w:r>
      <w:r w:rsidR="00586198">
        <w:t xml:space="preserve"> Guidance detailed in the relevant SOPs provides information on the donning and doffing of PPE and disposal arrangements.</w:t>
      </w:r>
    </w:p>
    <w:p w:rsidR="008E7FE7" w:rsidRPr="008E7FE7" w:rsidRDefault="008E7FE7">
      <w:r>
        <w:t>PPE and Hygiene Stocks are available in Prisons via their internal stocks, each wing grab pack, first aid and self-harm packs, escort and bed watch packs and additional stocks supplied to reception areas. Restock and supply is available from the regional PPE Hub.</w:t>
      </w:r>
    </w:p>
    <w:p w:rsidR="00000A04" w:rsidRDefault="006D6791">
      <w:r>
        <w:t>The use of fluid-resistant eye-</w:t>
      </w:r>
      <w:r w:rsidR="00000A04">
        <w:t xml:space="preserve">shields should be considered especially where the risk of spitting is </w:t>
      </w:r>
      <w:proofErr w:type="gramStart"/>
      <w:r w:rsidR="00000A04">
        <w:t>possible</w:t>
      </w:r>
      <w:proofErr w:type="gramEnd"/>
      <w:r w:rsidR="00000A04">
        <w:t xml:space="preserve"> (for example</w:t>
      </w:r>
      <w:r>
        <w:t xml:space="preserve"> during incidents on netting), but it remains preferable to use a 2m minimum distance.</w:t>
      </w:r>
    </w:p>
    <w:p w:rsidR="009E43CC" w:rsidRDefault="006D6791">
      <w:r>
        <w:t>As with all other aspects of managing a serious incident, the assessment of risks posed to negotiators is a dynamic process and should be reviewed during the incident.</w:t>
      </w:r>
    </w:p>
    <w:p w:rsidR="006D6791" w:rsidRDefault="006D6791">
      <w:r>
        <w:t xml:space="preserve">Negotiators should be aware of the potential to reduce the distance between themselves and the perpetrator(s) as a negotiation progresses and should resist the temptation to move towards the perpetrator. The use of markers on the floor (piece of paper, bottle of water, </w:t>
      </w:r>
      <w:r w:rsidR="008E7FE7">
        <w:t>etc.</w:t>
      </w:r>
      <w:r>
        <w:t xml:space="preserve">) may help to remind negotiators of the appropriate point. A closed or locked door should not be assumed to </w:t>
      </w:r>
      <w:r>
        <w:lastRenderedPageBreak/>
        <w:t>present a safe barrier (liquids can be thrown dow</w:t>
      </w:r>
      <w:r w:rsidR="008E7FE7">
        <w:t>n the side of a door) and GOV.UK social distance</w:t>
      </w:r>
      <w:r>
        <w:t xml:space="preserve"> rule is still relevant.</w:t>
      </w:r>
    </w:p>
    <w:p w:rsidR="006D6791" w:rsidRDefault="006D6791" w:rsidP="006D6791">
      <w:pPr>
        <w:pStyle w:val="Heading3"/>
      </w:pPr>
      <w:r>
        <w:t>Negotiator to negotiator communication</w:t>
      </w:r>
    </w:p>
    <w:p w:rsidR="006D6791" w:rsidRDefault="006D6791"/>
    <w:p w:rsidR="006D6791" w:rsidRDefault="006D6791">
      <w:r>
        <w:t>The gre</w:t>
      </w:r>
      <w:r w:rsidR="008E7FE7">
        <w:t>ater risk of compromising the GOV.UK social distance</w:t>
      </w:r>
      <w:r>
        <w:t xml:space="preserve"> rule is where negotiators communicate between themselves. The provision and use of flipcharts and clip</w:t>
      </w:r>
      <w:r w:rsidR="000552A0">
        <w:t>boards is essential. It is important that negotiators are briefed to maintai</w:t>
      </w:r>
      <w:r w:rsidR="008E7FE7">
        <w:t>n social distancing</w:t>
      </w:r>
      <w:r w:rsidR="000552A0">
        <w:t xml:space="preserve"> when working together as a team.</w:t>
      </w:r>
    </w:p>
    <w:p w:rsidR="000824FC" w:rsidRDefault="000824FC" w:rsidP="000824FC">
      <w:pPr>
        <w:pStyle w:val="Heading3"/>
      </w:pPr>
      <w:r>
        <w:t>Other Considerations</w:t>
      </w:r>
    </w:p>
    <w:p w:rsidR="000824FC" w:rsidRDefault="000824FC" w:rsidP="000824FC"/>
    <w:p w:rsidR="000824FC" w:rsidRDefault="000824FC" w:rsidP="000824FC">
      <w:r>
        <w:t>Silver commanders should ensure they brief negotiators to adopt and maintain these measures before deploying negotiators to the scene.</w:t>
      </w:r>
    </w:p>
    <w:p w:rsidR="000824FC" w:rsidRDefault="000824FC" w:rsidP="000824FC">
      <w:r>
        <w:t>PPE should not be routinely used and the decision to use PPE should not be made without authorisation by the Silver commander.</w:t>
      </w:r>
    </w:p>
    <w:p w:rsidR="000824FC" w:rsidRDefault="000824FC" w:rsidP="000824FC">
      <w:r>
        <w:t>Sites may wish to ensure that the appropriate PPE is readily available</w:t>
      </w:r>
      <w:r w:rsidR="00AB2A37">
        <w:t xml:space="preserve"> at the Prisons as outlined above</w:t>
      </w:r>
      <w:r>
        <w:t>.</w:t>
      </w:r>
    </w:p>
    <w:p w:rsidR="00AB2A37" w:rsidRPr="000824FC" w:rsidRDefault="00AB2A37" w:rsidP="000824FC">
      <w:r>
        <w:t>Negotiators must not be</w:t>
      </w:r>
      <w:r w:rsidRPr="00AB2A37">
        <w:t xml:space="preserve"> from the current GOV.UK shielded vulnerable group of persons (i.e.: pregnant workers, those with serious underlying medical conditions as described and updated within the national GOV.UK briefings). Refer to curr</w:t>
      </w:r>
      <w:r w:rsidR="00A3756B">
        <w:t>ent HMPPS guidance on staff who</w:t>
      </w:r>
      <w:r w:rsidRPr="00AB2A37">
        <w:t xml:space="preserve"> are within the vulnerable GOV.UK groups.</w:t>
      </w:r>
    </w:p>
    <w:p w:rsidR="000824FC" w:rsidRDefault="000824FC" w:rsidP="00AB2A37">
      <w:pPr>
        <w:jc w:val="center"/>
      </w:pPr>
    </w:p>
    <w:p w:rsidR="000552A0" w:rsidRDefault="000552A0"/>
    <w:p w:rsidR="000552A0" w:rsidRDefault="000552A0"/>
    <w:p w:rsidR="006D6791" w:rsidRDefault="006D6791"/>
    <w:sectPr w:rsidR="006D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CC"/>
    <w:rsid w:val="00000A04"/>
    <w:rsid w:val="00020C99"/>
    <w:rsid w:val="000472D6"/>
    <w:rsid w:val="000552A0"/>
    <w:rsid w:val="000824FC"/>
    <w:rsid w:val="004672AA"/>
    <w:rsid w:val="004762B1"/>
    <w:rsid w:val="00586198"/>
    <w:rsid w:val="006D6791"/>
    <w:rsid w:val="008E7FE7"/>
    <w:rsid w:val="009E43CC"/>
    <w:rsid w:val="00A3756B"/>
    <w:rsid w:val="00AB2A37"/>
    <w:rsid w:val="00BD1876"/>
    <w:rsid w:val="00C41A76"/>
    <w:rsid w:val="00C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D3F71-67E2-4675-A21B-7033B3D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aliases w:val="phd table style"/>
    <w:basedOn w:val="TableNormal"/>
    <w:uiPriority w:val="42"/>
    <w:rsid w:val="004762B1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jc w:val="center"/>
      <w:tblBorders>
        <w:insideH w:val="single" w:sz="4" w:space="0" w:color="auto"/>
      </w:tblBorders>
    </w:tblPr>
    <w:trPr>
      <w:jc w:val="center"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b w:val="0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2Horz">
      <w:rPr>
        <w:b w:val="0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6D6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7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8E7F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mppsintranet.org.uk/exce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10625C47</Template>
  <TotalTime>0</TotalTime>
  <Pages>2</Pages>
  <Words>603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Carol [HMPS]</dc:creator>
  <cp:keywords/>
  <dc:description/>
  <cp:lastModifiedBy>Harrison, Michael [HMPS]</cp:lastModifiedBy>
  <cp:revision>2</cp:revision>
  <dcterms:created xsi:type="dcterms:W3CDTF">2020-06-25T15:45:00Z</dcterms:created>
  <dcterms:modified xsi:type="dcterms:W3CDTF">2020-06-25T15:45:00Z</dcterms:modified>
</cp:coreProperties>
</file>