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14" w:type="dxa"/>
        <w:tblCellSpacing w:w="37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7"/>
        <w:gridCol w:w="2528"/>
        <w:gridCol w:w="1460"/>
        <w:gridCol w:w="3531"/>
      </w:tblGrid>
      <w:tr w:rsidR="006D4955" w:rsidTr="006D4955">
        <w:trPr>
          <w:trHeight w:val="481"/>
          <w:tblCellSpacing w:w="37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D4955" w:rsidRDefault="006D4955">
            <w:r>
              <w:rPr>
                <w:rFonts w:ascii="Arial" w:hAnsi="Arial" w:cs="Arial"/>
                <w:b/>
                <w:bCs/>
              </w:rPr>
              <w:t>FM&amp;C Finance Communication No.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D4955" w:rsidRDefault="006D4955">
            <w:r>
              <w:rPr>
                <w:rFonts w:ascii="Arial" w:hAnsi="Arial" w:cs="Arial"/>
              </w:rPr>
              <w:t>23/2020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D4955" w:rsidRDefault="006D4955">
            <w:r>
              <w:rPr>
                <w:rFonts w:ascii="Arial" w:hAnsi="Arial" w:cs="Arial"/>
                <w:b/>
                <w:bCs/>
              </w:rPr>
              <w:t xml:space="preserve">Cancels </w:t>
            </w:r>
            <w:r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  <w:b/>
                <w:bCs/>
              </w:rPr>
              <w:t>replaces Finance Communication Notice</w:t>
            </w:r>
            <w:r>
              <w:rPr>
                <w:rFonts w:ascii="Arial" w:hAnsi="Arial" w:cs="Arial"/>
                <w:b/>
                <w:bCs/>
                <w:color w:val="1F497D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No. 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D4955" w:rsidRDefault="006D4955">
            <w:r>
              <w:rPr>
                <w:rFonts w:ascii="Arial" w:hAnsi="Arial" w:cs="Arial"/>
              </w:rPr>
              <w:t>Not applicable</w:t>
            </w:r>
          </w:p>
        </w:tc>
      </w:tr>
      <w:tr w:rsidR="006D4955" w:rsidTr="006D4955">
        <w:trPr>
          <w:trHeight w:val="1436"/>
          <w:tblCellSpacing w:w="37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D4955" w:rsidRDefault="006D4955">
            <w:r>
              <w:rPr>
                <w:rFonts w:ascii="Arial" w:hAnsi="Arial" w:cs="Arial"/>
                <w:b/>
                <w:bCs/>
              </w:rPr>
              <w:t>Date of Issue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D4955" w:rsidRDefault="006D4955">
            <w:r>
              <w:rPr>
                <w:rFonts w:ascii="Arial" w:hAnsi="Arial" w:cs="Arial"/>
              </w:rPr>
              <w:t xml:space="preserve">30/03/2020 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D4955" w:rsidRDefault="006D4955">
            <w:r>
              <w:rPr>
                <w:rFonts w:ascii="Arial" w:hAnsi="Arial" w:cs="Arial"/>
                <w:b/>
                <w:bCs/>
              </w:rPr>
              <w:t xml:space="preserve">Applicability to 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D4955" w:rsidRDefault="006D4955">
            <w:r>
              <w:rPr>
                <w:rFonts w:ascii="Arial" w:hAnsi="Arial" w:cs="Arial"/>
              </w:rPr>
              <w:t> </w:t>
            </w:r>
          </w:p>
          <w:p w:rsidR="006D4955" w:rsidRDefault="006D4955">
            <w:r>
              <w:rPr>
                <w:rFonts w:ascii="Arial" w:hAnsi="Arial" w:cs="Arial"/>
                <w:lang w:eastAsia="en-US"/>
              </w:rPr>
              <w:t> </w:t>
            </w:r>
          </w:p>
          <w:p w:rsidR="006D4955" w:rsidRDefault="006D4955">
            <w:r>
              <w:rPr>
                <w:rFonts w:ascii="Arial" w:hAnsi="Arial" w:cs="Arial"/>
                <w:color w:val="000000"/>
                <w:lang w:eastAsia="en-US"/>
              </w:rPr>
              <w:t>HMPPS</w:t>
            </w:r>
            <w:r>
              <w:rPr>
                <w:rFonts w:ascii="Arial" w:hAnsi="Arial" w:cs="Arial"/>
                <w:color w:val="000000"/>
              </w:rPr>
              <w:t xml:space="preserve"> – PSP, NPS, HQ</w:t>
            </w:r>
          </w:p>
          <w:p w:rsidR="006D4955" w:rsidRDefault="006D4955">
            <w:r>
              <w:rPr>
                <w:rFonts w:ascii="Arial" w:hAnsi="Arial" w:cs="Arial"/>
              </w:rPr>
              <w:t> </w:t>
            </w:r>
          </w:p>
          <w:p w:rsidR="006D4955" w:rsidRDefault="006D4955">
            <w:r>
              <w:rPr>
                <w:rFonts w:ascii="Arial" w:hAnsi="Arial" w:cs="Arial"/>
                <w:b/>
                <w:bCs/>
              </w:rPr>
              <w:t>FAO:</w:t>
            </w:r>
            <w:r>
              <w:rPr>
                <w:rFonts w:ascii="Arial" w:hAnsi="Arial" w:cs="Arial"/>
              </w:rPr>
              <w:t xml:space="preserve"> All staff, especially Budget holders, </w:t>
            </w:r>
            <w:proofErr w:type="spellStart"/>
            <w:r>
              <w:rPr>
                <w:rFonts w:ascii="Arial" w:hAnsi="Arial" w:cs="Arial"/>
              </w:rPr>
              <w:t>Requisitioners</w:t>
            </w:r>
            <w:proofErr w:type="spellEnd"/>
            <w:r>
              <w:rPr>
                <w:rFonts w:ascii="Arial" w:hAnsi="Arial" w:cs="Arial"/>
              </w:rPr>
              <w:t>, GPC Card Holders and GPC Card Holders’ Line Managers.  </w:t>
            </w:r>
          </w:p>
          <w:p w:rsidR="006D4955" w:rsidRDefault="006D4955">
            <w:r>
              <w:t> </w:t>
            </w:r>
          </w:p>
        </w:tc>
      </w:tr>
      <w:tr w:rsidR="006D4955" w:rsidTr="006D4955">
        <w:trPr>
          <w:trHeight w:val="766"/>
          <w:tblCellSpacing w:w="37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D4955" w:rsidRDefault="006D4955">
            <w:r>
              <w:rPr>
                <w:rFonts w:ascii="Arial" w:hAnsi="Arial" w:cs="Arial"/>
                <w:b/>
                <w:bCs/>
              </w:rPr>
              <w:t xml:space="preserve">Communication Title 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D4955" w:rsidRDefault="006D4955">
            <w:r>
              <w:rPr>
                <w:rFonts w:ascii="Arial" w:hAnsi="Arial" w:cs="Arial"/>
                <w:b/>
                <w:bCs/>
              </w:rPr>
              <w:t> </w:t>
            </w:r>
          </w:p>
          <w:p w:rsidR="006D4955" w:rsidRDefault="006D4955"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Covid-19 – Purchases via Government Procurement Card </w:t>
            </w:r>
          </w:p>
          <w:bookmarkEnd w:id="0"/>
          <w:p w:rsidR="006D4955" w:rsidRDefault="006D4955"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D4955" w:rsidTr="006D4955">
        <w:trPr>
          <w:trHeight w:val="481"/>
          <w:tblCellSpacing w:w="37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D4955" w:rsidRDefault="006D4955">
            <w:r>
              <w:rPr>
                <w:rFonts w:ascii="Arial" w:hAnsi="Arial" w:cs="Arial"/>
                <w:b/>
                <w:bCs/>
              </w:rPr>
              <w:t>Subjects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D4955" w:rsidRDefault="006D4955">
            <w:pPr>
              <w:pStyle w:val="ListParagraph"/>
              <w:ind w:left="360"/>
            </w:pPr>
            <w:r>
              <w:rPr>
                <w:rFonts w:ascii="Arial" w:hAnsi="Arial" w:cs="Arial"/>
              </w:rPr>
              <w:t> </w:t>
            </w:r>
          </w:p>
          <w:p w:rsidR="006D4955" w:rsidRDefault="006D4955">
            <w:r>
              <w:rPr>
                <w:rFonts w:ascii="Arial" w:hAnsi="Arial" w:cs="Arial"/>
              </w:rPr>
              <w:t xml:space="preserve">Covid-19 – Purchases via Government Procurement Card 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D4955" w:rsidRDefault="006D4955">
            <w:r>
              <w:rPr>
                <w:rFonts w:ascii="Arial" w:hAnsi="Arial" w:cs="Arial"/>
                <w:b/>
                <w:bCs/>
              </w:rPr>
              <w:t>Finance Manual Reference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D4955" w:rsidRDefault="006D4955">
            <w:r>
              <w:rPr>
                <w:rFonts w:ascii="Arial" w:hAnsi="Arial" w:cs="Arial"/>
              </w:rPr>
              <w:t xml:space="preserve">Not applicable. </w:t>
            </w:r>
          </w:p>
        </w:tc>
      </w:tr>
      <w:tr w:rsidR="006D4955" w:rsidTr="006D4955">
        <w:trPr>
          <w:trHeight w:val="1513"/>
          <w:tblCellSpacing w:w="37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D4955" w:rsidRDefault="006D4955">
            <w:r>
              <w:rPr>
                <w:rFonts w:ascii="Arial" w:hAnsi="Arial" w:cs="Arial"/>
                <w:b/>
                <w:bCs/>
              </w:rPr>
              <w:t> </w:t>
            </w:r>
          </w:p>
          <w:p w:rsidR="006D4955" w:rsidRDefault="006D4955">
            <w:r>
              <w:rPr>
                <w:rFonts w:ascii="Arial" w:hAnsi="Arial" w:cs="Arial"/>
                <w:b/>
                <w:bCs/>
              </w:rPr>
              <w:t>Enquiries regarding</w:t>
            </w:r>
          </w:p>
          <w:p w:rsidR="006D4955" w:rsidRDefault="006D4955">
            <w:r>
              <w:rPr>
                <w:rFonts w:ascii="Arial" w:hAnsi="Arial" w:cs="Arial"/>
                <w:b/>
                <w:bCs/>
              </w:rPr>
              <w:t>this Notice</w:t>
            </w:r>
          </w:p>
          <w:p w:rsidR="006D4955" w:rsidRDefault="006D4955">
            <w:r>
              <w:rPr>
                <w:rFonts w:ascii="Arial" w:hAnsi="Arial" w:cs="Arial"/>
                <w:b/>
                <w:bCs/>
              </w:rPr>
              <w:t> </w:t>
            </w:r>
          </w:p>
          <w:p w:rsidR="006D4955" w:rsidRDefault="006D4955"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D4955" w:rsidRDefault="006D4955">
            <w:hyperlink r:id="rId5" w:history="1">
              <w:r>
                <w:rPr>
                  <w:rStyle w:val="Hyperlink"/>
                  <w:rFonts w:ascii="Arial" w:hAnsi="Arial" w:cs="Arial"/>
                </w:rPr>
                <w:t>CommercialGPC@Justice.gov.uk</w:t>
              </w:r>
            </w:hyperlink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D4955" w:rsidRDefault="006D4955">
            <w:r>
              <w:rPr>
                <w:rFonts w:ascii="Arial" w:hAnsi="Arial" w:cs="Arial"/>
                <w:b/>
                <w:bCs/>
              </w:rPr>
              <w:t xml:space="preserve">Date effective from </w:t>
            </w:r>
          </w:p>
          <w:p w:rsidR="006D4955" w:rsidRDefault="006D4955">
            <w:r>
              <w:rPr>
                <w:rFonts w:ascii="Arial" w:hAnsi="Arial" w:cs="Arial"/>
                <w:b/>
                <w:bCs/>
                <w:highlight w:val="yellow"/>
              </w:rPr>
              <w:t> 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D4955" w:rsidRDefault="006D4955">
            <w:r>
              <w:rPr>
                <w:rFonts w:ascii="Arial" w:hAnsi="Arial" w:cs="Arial"/>
              </w:rPr>
              <w:t xml:space="preserve">Immediate - 30/03/2020 </w:t>
            </w:r>
          </w:p>
        </w:tc>
      </w:tr>
      <w:tr w:rsidR="006D4955" w:rsidTr="006D4955">
        <w:trPr>
          <w:trHeight w:val="1205"/>
          <w:tblCellSpacing w:w="37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D4955" w:rsidRDefault="006D4955">
            <w:r>
              <w:rPr>
                <w:rFonts w:ascii="Arial" w:hAnsi="Arial" w:cs="Arial"/>
                <w:b/>
                <w:bCs/>
              </w:rPr>
              <w:t>Distribution List Enquiries</w:t>
            </w:r>
          </w:p>
          <w:p w:rsidR="006D4955" w:rsidRDefault="006D4955">
            <w:r>
              <w:rPr>
                <w:rFonts w:ascii="Arial" w:hAnsi="Arial" w:cs="Arial"/>
              </w:rPr>
              <w:t>(Addition to/removal from the   Distribution List)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D4955" w:rsidRDefault="006D4955">
            <w:hyperlink r:id="rId6" w:history="1">
              <w:r>
                <w:rPr>
                  <w:rStyle w:val="Hyperlink"/>
                  <w:rFonts w:ascii="Arial" w:hAnsi="Arial" w:cs="Arial"/>
                  <w:color w:val="0563C1"/>
                </w:rPr>
                <w:t>Policy.finance@justice.gov.uk</w:t>
              </w:r>
            </w:hyperlink>
          </w:p>
          <w:p w:rsidR="006D4955" w:rsidRDefault="006D4955">
            <w:r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D4955" w:rsidRDefault="006D4955">
            <w:r>
              <w:rPr>
                <w:rFonts w:ascii="Arial" w:hAnsi="Arial" w:cs="Arial"/>
                <w:b/>
                <w:bCs/>
              </w:rPr>
              <w:t xml:space="preserve">Finance and Analysis Group Web Page </w:t>
            </w:r>
          </w:p>
          <w:p w:rsidR="006D4955" w:rsidRDefault="006D4955">
            <w:r>
              <w:rPr>
                <w:rFonts w:ascii="Arial" w:hAnsi="Arial" w:cs="Arial"/>
              </w:rPr>
              <w:t>(for previously issued Finance Communications and Accounts Production Notices, and other useful information)</w:t>
            </w:r>
          </w:p>
          <w:p w:rsidR="006D4955" w:rsidRDefault="006D4955">
            <w:r>
              <w:rPr>
                <w:rFonts w:ascii="Arial" w:hAnsi="Arial" w:cs="Arial"/>
                <w:b/>
                <w:bCs/>
              </w:rPr>
              <w:t> </w:t>
            </w:r>
          </w:p>
          <w:p w:rsidR="006D4955" w:rsidRDefault="006D4955"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D4955" w:rsidRDefault="006D4955">
            <w:hyperlink r:id="rId7" w:history="1">
              <w:r>
                <w:rPr>
                  <w:rStyle w:val="Hyperlink"/>
                  <w:rFonts w:ascii="Arial" w:hAnsi="Arial" w:cs="Arial"/>
                  <w:color w:val="0563C1"/>
                </w:rPr>
                <w:t>https://intranet.noms.gsi.gov.uk/groups/financial-and-analysis</w:t>
              </w:r>
            </w:hyperlink>
          </w:p>
          <w:p w:rsidR="006D4955" w:rsidRDefault="006D4955">
            <w:r>
              <w:rPr>
                <w:rFonts w:ascii="Arial" w:hAnsi="Arial" w:cs="Arial"/>
              </w:rPr>
              <w:t> </w:t>
            </w:r>
          </w:p>
          <w:p w:rsidR="006D4955" w:rsidRDefault="006D4955">
            <w:r>
              <w:rPr>
                <w:rFonts w:ascii="Arial" w:hAnsi="Arial" w:cs="Arial"/>
              </w:rPr>
              <w:t xml:space="preserve">Please email any comments or suggestions to </w:t>
            </w:r>
            <w:hyperlink r:id="rId8" w:history="1">
              <w:r>
                <w:rPr>
                  <w:rStyle w:val="Hyperlink"/>
                  <w:rFonts w:ascii="Arial" w:hAnsi="Arial" w:cs="Arial"/>
                  <w:color w:val="0563C1"/>
                </w:rPr>
                <w:t>policy.finance@justice.gov.uk</w:t>
              </w:r>
            </w:hyperlink>
          </w:p>
        </w:tc>
      </w:tr>
    </w:tbl>
    <w:p w:rsidR="006D4955" w:rsidRDefault="006D4955" w:rsidP="006D4955">
      <w:pPr>
        <w:ind w:left="360"/>
      </w:pPr>
      <w:r>
        <w:rPr>
          <w:rFonts w:ascii="Arial" w:hAnsi="Arial" w:cs="Arial"/>
        </w:rPr>
        <w:t> </w:t>
      </w:r>
    </w:p>
    <w:p w:rsidR="006D4955" w:rsidRDefault="006D4955" w:rsidP="006D4955">
      <w:r>
        <w:lastRenderedPageBreak/>
        <w:t> </w:t>
      </w:r>
    </w:p>
    <w:p w:rsidR="006D4955" w:rsidRDefault="006D4955" w:rsidP="006D4955">
      <w:r>
        <w:rPr>
          <w:rFonts w:ascii="Arial" w:hAnsi="Arial" w:cs="Arial"/>
        </w:rPr>
        <w:t>The following has been agreed to support MoJ in purchasing of goods and services during the Covid-19 situation. Business units should adhere to the business as usual acquisition model and note that finance are introducing measures to support this process.</w:t>
      </w:r>
    </w:p>
    <w:p w:rsidR="006D4955" w:rsidRDefault="006D4955" w:rsidP="006D4955">
      <w:r>
        <w:rPr>
          <w:rFonts w:ascii="Arial" w:hAnsi="Arial" w:cs="Arial"/>
        </w:rPr>
        <w:t> </w:t>
      </w:r>
    </w:p>
    <w:p w:rsidR="006D4955" w:rsidRDefault="006D4955" w:rsidP="006D4955">
      <w:r>
        <w:rPr>
          <w:rFonts w:ascii="Arial" w:hAnsi="Arial" w:cs="Arial"/>
        </w:rPr>
        <w:t xml:space="preserve">All merchant categories apart from cash have been unblocked. Financial limits have been increased to £10k per transaction with a monthly limit of £50k. </w:t>
      </w:r>
    </w:p>
    <w:p w:rsidR="006D4955" w:rsidRDefault="006D4955" w:rsidP="006D4955">
      <w:r>
        <w:rPr>
          <w:rFonts w:ascii="Arial" w:hAnsi="Arial" w:cs="Arial"/>
        </w:rPr>
        <w:t> </w:t>
      </w:r>
    </w:p>
    <w:p w:rsidR="006D4955" w:rsidRDefault="006D4955" w:rsidP="006D4955">
      <w:r>
        <w:rPr>
          <w:rFonts w:ascii="Arial" w:hAnsi="Arial" w:cs="Arial"/>
        </w:rPr>
        <w:t>This has been implemented to ensure there is no detriment to the running of prisons and probation services but please be aware of the following:</w:t>
      </w:r>
    </w:p>
    <w:p w:rsidR="006D4955" w:rsidRDefault="006D4955" w:rsidP="006D4955">
      <w:r>
        <w:rPr>
          <w:rFonts w:ascii="Arial" w:hAnsi="Arial" w:cs="Arial"/>
        </w:rPr>
        <w:t> </w:t>
      </w:r>
    </w:p>
    <w:p w:rsidR="006D4955" w:rsidRDefault="006D4955" w:rsidP="006D4955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</w:rPr>
      </w:pPr>
      <w:r>
        <w:rPr>
          <w:rFonts w:ascii="Arial" w:eastAsia="Times New Roman" w:hAnsi="Arial" w:cs="Arial"/>
        </w:rPr>
        <w:t>The GPC should only be used when there are no staff to raise a requisition or the goods are needed by the next day;</w:t>
      </w:r>
    </w:p>
    <w:p w:rsidR="006D4955" w:rsidRDefault="006D4955" w:rsidP="006D4955">
      <w:pPr>
        <w:pStyle w:val="ListParagraph"/>
        <w:spacing w:after="160" w:line="252" w:lineRule="auto"/>
        <w:contextualSpacing/>
      </w:pPr>
      <w:r>
        <w:rPr>
          <w:rFonts w:ascii="Arial" w:hAnsi="Arial" w:cs="Arial"/>
        </w:rPr>
        <w:t> </w:t>
      </w:r>
    </w:p>
    <w:p w:rsidR="006D4955" w:rsidRDefault="006D4955" w:rsidP="006D4955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</w:rPr>
      </w:pPr>
      <w:r>
        <w:rPr>
          <w:rFonts w:ascii="Arial" w:eastAsia="Times New Roman" w:hAnsi="Arial" w:cs="Arial"/>
          <w:b/>
          <w:bCs/>
        </w:rPr>
        <w:t>GPC must not be used for goods and services where there is a contract in place</w:t>
      </w:r>
      <w:r>
        <w:rPr>
          <w:rFonts w:ascii="Arial" w:eastAsia="Times New Roman" w:hAnsi="Arial" w:cs="Arial"/>
        </w:rPr>
        <w:t xml:space="preserve"> unless it is an emergency;</w:t>
      </w:r>
    </w:p>
    <w:p w:rsidR="006D4955" w:rsidRDefault="006D4955" w:rsidP="006D4955">
      <w:pPr>
        <w:pStyle w:val="ListParagraph"/>
      </w:pPr>
      <w:r>
        <w:rPr>
          <w:rFonts w:ascii="Arial" w:hAnsi="Arial" w:cs="Arial"/>
        </w:rPr>
        <w:t> </w:t>
      </w:r>
    </w:p>
    <w:p w:rsidR="006D4955" w:rsidRDefault="006D4955" w:rsidP="006D4955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</w:rPr>
      </w:pPr>
      <w:r>
        <w:rPr>
          <w:rFonts w:ascii="Arial" w:eastAsia="Times New Roman" w:hAnsi="Arial" w:cs="Arial"/>
        </w:rPr>
        <w:t>GPC must not be used for PPE purchases, this is because there is a risk that products may not be to the required specification; these are being procured and issued centrally. Please contact the Business Hub for any queries relating to PPE (HMPPS) or order via the Banner Stationery Contract (HMCTS/MOJ/ALBs/NPS);</w:t>
      </w:r>
    </w:p>
    <w:p w:rsidR="006D4955" w:rsidRDefault="006D4955" w:rsidP="006D4955">
      <w:pPr>
        <w:pStyle w:val="ListParagraph"/>
      </w:pPr>
      <w:r>
        <w:rPr>
          <w:rFonts w:ascii="Arial" w:hAnsi="Arial" w:cs="Arial"/>
        </w:rPr>
        <w:t> </w:t>
      </w:r>
    </w:p>
    <w:p w:rsidR="006D4955" w:rsidRDefault="006D4955" w:rsidP="006D4955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</w:rPr>
      </w:pPr>
      <w:r>
        <w:rPr>
          <w:rFonts w:ascii="Arial" w:eastAsia="Times New Roman" w:hAnsi="Arial" w:cs="Arial"/>
        </w:rPr>
        <w:t>Budget Holder approval is still required, if the budget holder is not available due to self-isolation or sickness, SMT approval is sufficient as long as the budget holder is copied in to any correspondence regarding purchases;</w:t>
      </w:r>
    </w:p>
    <w:p w:rsidR="006D4955" w:rsidRDefault="006D4955" w:rsidP="006D4955">
      <w:pPr>
        <w:pStyle w:val="ListParagraph"/>
      </w:pPr>
      <w:r>
        <w:rPr>
          <w:rFonts w:ascii="Arial" w:hAnsi="Arial" w:cs="Arial"/>
        </w:rPr>
        <w:t> </w:t>
      </w:r>
    </w:p>
    <w:p w:rsidR="006D4955" w:rsidRDefault="006D4955" w:rsidP="006D4955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</w:rPr>
      </w:pPr>
      <w:r>
        <w:rPr>
          <w:rFonts w:ascii="Arial" w:eastAsia="Times New Roman" w:hAnsi="Arial" w:cs="Arial"/>
        </w:rPr>
        <w:t>Transaction logs must still be fully completed including the full account code;</w:t>
      </w:r>
    </w:p>
    <w:p w:rsidR="006D4955" w:rsidRDefault="006D4955" w:rsidP="006D4955">
      <w:pPr>
        <w:pStyle w:val="ListParagraph"/>
      </w:pPr>
      <w:r>
        <w:rPr>
          <w:rFonts w:ascii="Arial" w:hAnsi="Arial" w:cs="Arial"/>
        </w:rPr>
        <w:t> </w:t>
      </w:r>
    </w:p>
    <w:p w:rsidR="006D4955" w:rsidRDefault="006D4955" w:rsidP="006D4955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</w:rPr>
      </w:pPr>
      <w:r>
        <w:rPr>
          <w:rFonts w:ascii="Arial" w:eastAsia="Times New Roman" w:hAnsi="Arial" w:cs="Arial"/>
        </w:rPr>
        <w:t>Backing documentation must be attached to the transaction logs;</w:t>
      </w:r>
    </w:p>
    <w:p w:rsidR="006D4955" w:rsidRDefault="006D4955" w:rsidP="006D4955">
      <w:pPr>
        <w:pStyle w:val="ListParagraph"/>
      </w:pPr>
      <w:r>
        <w:rPr>
          <w:rFonts w:ascii="Arial" w:hAnsi="Arial" w:cs="Arial"/>
        </w:rPr>
        <w:t> </w:t>
      </w:r>
    </w:p>
    <w:p w:rsidR="006D4955" w:rsidRDefault="006D4955" w:rsidP="006D4955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</w:rPr>
      </w:pPr>
      <w:proofErr w:type="spellStart"/>
      <w:r>
        <w:rPr>
          <w:rFonts w:ascii="Arial" w:eastAsia="Times New Roman" w:hAnsi="Arial" w:cs="Arial"/>
        </w:rPr>
        <w:t>i</w:t>
      </w:r>
      <w:proofErr w:type="spellEnd"/>
      <w:r>
        <w:rPr>
          <w:rFonts w:ascii="Arial" w:eastAsia="Times New Roman" w:hAnsi="Arial" w:cs="Arial"/>
        </w:rPr>
        <w:t>-Expenses must be allocated by the cardholder and cleared by the line manager;</w:t>
      </w:r>
    </w:p>
    <w:p w:rsidR="006D4955" w:rsidRDefault="006D4955" w:rsidP="006D4955">
      <w:pPr>
        <w:pStyle w:val="ListParagraph"/>
      </w:pPr>
      <w:r>
        <w:rPr>
          <w:rFonts w:ascii="Arial" w:hAnsi="Arial" w:cs="Arial"/>
        </w:rPr>
        <w:t> </w:t>
      </w:r>
    </w:p>
    <w:p w:rsidR="006D4955" w:rsidRDefault="006D4955" w:rsidP="006D4955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</w:rPr>
      </w:pPr>
      <w:r>
        <w:rPr>
          <w:rFonts w:ascii="Arial" w:eastAsia="Times New Roman" w:hAnsi="Arial" w:cs="Arial"/>
        </w:rPr>
        <w:t xml:space="preserve">The actual items purchased must be recorded on SOP when allocating the transaction on </w:t>
      </w:r>
      <w:proofErr w:type="spellStart"/>
      <w:r>
        <w:rPr>
          <w:rFonts w:ascii="Arial" w:eastAsia="Times New Roman" w:hAnsi="Arial" w:cs="Arial"/>
        </w:rPr>
        <w:t>i</w:t>
      </w:r>
      <w:proofErr w:type="spellEnd"/>
      <w:r>
        <w:rPr>
          <w:rFonts w:ascii="Arial" w:eastAsia="Times New Roman" w:hAnsi="Arial" w:cs="Arial"/>
        </w:rPr>
        <w:t>-Expenses;</w:t>
      </w:r>
    </w:p>
    <w:p w:rsidR="006D4955" w:rsidRDefault="006D4955" w:rsidP="006D4955">
      <w:pPr>
        <w:pStyle w:val="ListParagraph"/>
      </w:pPr>
      <w:r>
        <w:rPr>
          <w:rFonts w:ascii="Arial" w:hAnsi="Arial" w:cs="Arial"/>
        </w:rPr>
        <w:t> </w:t>
      </w:r>
    </w:p>
    <w:p w:rsidR="006D4955" w:rsidRDefault="006D4955" w:rsidP="006D4955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</w:rPr>
      </w:pPr>
      <w:r>
        <w:rPr>
          <w:rFonts w:ascii="Arial" w:eastAsia="Times New Roman" w:hAnsi="Arial" w:cs="Arial"/>
        </w:rPr>
        <w:t>Transaction log checks must be completed as soon as resource allows it;</w:t>
      </w:r>
    </w:p>
    <w:p w:rsidR="006D4955" w:rsidRDefault="006D4955" w:rsidP="006D4955">
      <w:pPr>
        <w:pStyle w:val="ListParagraph"/>
      </w:pPr>
      <w:r>
        <w:rPr>
          <w:rFonts w:ascii="Arial" w:hAnsi="Arial" w:cs="Arial"/>
        </w:rPr>
        <w:t> </w:t>
      </w:r>
    </w:p>
    <w:p w:rsidR="006D4955" w:rsidRDefault="006D4955" w:rsidP="006D4955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</w:rPr>
      </w:pPr>
      <w:r>
        <w:rPr>
          <w:rFonts w:ascii="Arial" w:eastAsia="Times New Roman" w:hAnsi="Arial" w:cs="Arial"/>
        </w:rPr>
        <w:t>Invoices must not be paid via GPC;</w:t>
      </w:r>
    </w:p>
    <w:p w:rsidR="006D4955" w:rsidRDefault="006D4955" w:rsidP="006D4955">
      <w:pPr>
        <w:pStyle w:val="ListParagraph"/>
      </w:pPr>
      <w:r>
        <w:rPr>
          <w:rFonts w:ascii="Arial" w:hAnsi="Arial" w:cs="Arial"/>
        </w:rPr>
        <w:t> </w:t>
      </w:r>
    </w:p>
    <w:p w:rsidR="006D4955" w:rsidRDefault="006D4955" w:rsidP="006D4955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</w:rPr>
      </w:pPr>
      <w:r>
        <w:rPr>
          <w:rFonts w:ascii="Arial" w:eastAsia="Times New Roman" w:hAnsi="Arial" w:cs="Arial"/>
        </w:rPr>
        <w:t xml:space="preserve">To ensure our records are completely up to date, if contact details have changed since receiving a GPC, please submit a GPC Change of Information Form to SSCL via </w:t>
      </w:r>
      <w:hyperlink r:id="rId9" w:history="1">
        <w:r>
          <w:rPr>
            <w:rStyle w:val="Hyperlink"/>
            <w:rFonts w:ascii="Arial" w:eastAsia="Times New Roman" w:hAnsi="Arial" w:cs="Arial"/>
          </w:rPr>
          <w:t>moj-procurement-gpc@gov.sscl.com</w:t>
        </w:r>
      </w:hyperlink>
    </w:p>
    <w:p w:rsidR="006D4955" w:rsidRDefault="006D4955" w:rsidP="006D4955">
      <w:r>
        <w:rPr>
          <w:rFonts w:ascii="Arial" w:hAnsi="Arial" w:cs="Arial"/>
        </w:rPr>
        <w:t> </w:t>
      </w:r>
    </w:p>
    <w:p w:rsidR="006D4955" w:rsidRDefault="006D4955" w:rsidP="006D4955">
      <w:r>
        <w:rPr>
          <w:rFonts w:ascii="Arial" w:hAnsi="Arial" w:cs="Arial"/>
        </w:rPr>
        <w:t xml:space="preserve">If there are any queries, please contact </w:t>
      </w:r>
      <w:hyperlink r:id="rId10" w:history="1">
        <w:r>
          <w:rPr>
            <w:rStyle w:val="Hyperlink"/>
            <w:rFonts w:ascii="Arial" w:hAnsi="Arial" w:cs="Arial"/>
          </w:rPr>
          <w:t>CommercialGPC@Justice.gov.uk</w:t>
        </w:r>
      </w:hyperlink>
    </w:p>
    <w:p w:rsidR="00953A87" w:rsidRDefault="006D4955"/>
    <w:sectPr w:rsidR="00953A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FA5EB8"/>
    <w:multiLevelType w:val="hybridMultilevel"/>
    <w:tmpl w:val="F1C4B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55"/>
    <w:rsid w:val="00424459"/>
    <w:rsid w:val="00430D94"/>
    <w:rsid w:val="006178EC"/>
    <w:rsid w:val="006D4955"/>
    <w:rsid w:val="006E57A3"/>
    <w:rsid w:val="009B7564"/>
    <w:rsid w:val="00AF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CD31B0-005B-4AA4-8DEE-D0B9E934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955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49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495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6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cy.finance@justice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ranet.noms.gsi.gov.uk/groups/financial-and-analysi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icy.finance@justice.gov.u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ommercialGPC@Justice.gov.uk" TargetMode="External"/><Relationship Id="rId10" Type="http://schemas.openxmlformats.org/officeDocument/2006/relationships/hyperlink" Target="mailto:CommercialGPC@Justice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j-procurement-gpc@gov.ssc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5D07E556</Template>
  <TotalTime>4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Harrison, Michael [HMPS]</dc:creator>
  <cp:keywords/>
  <dc:description/>
  <cp:lastModifiedBy>Harrison, Michael [HMPS]</cp:lastModifiedBy>
  <cp:revision>1</cp:revision>
  <dcterms:created xsi:type="dcterms:W3CDTF">2020-03-30T12:14:00Z</dcterms:created>
  <dcterms:modified xsi:type="dcterms:W3CDTF">2020-03-30T12:18:00Z</dcterms:modified>
</cp:coreProperties>
</file>